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lang w:eastAsia="zh-CN"/>
        </w:rPr>
        <w:t>年福建省职业院校技能大赛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教学能力比赛</w:t>
      </w:r>
      <w:r>
        <w:rPr>
          <w:rFonts w:hint="eastAsia" w:ascii="方正小标宋简体" w:hAnsi="方正小标宋简体" w:eastAsia="方正小标宋简体" w:cs="方正小标宋简体"/>
          <w:b w:val="0"/>
          <w:bCs/>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lang w:val="en-US" w:eastAsia="zh-CN"/>
        </w:rPr>
      </w:pP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snapToGrid/>
          <w:color w:val="auto"/>
          <w:kern w:val="2"/>
          <w:sz w:val="32"/>
          <w:szCs w:val="32"/>
          <w:lang w:bidi="ar-SA"/>
        </w:rPr>
      </w:pPr>
      <w:r>
        <w:rPr>
          <w:rFonts w:hint="eastAsia" w:ascii="黑体" w:hAnsi="黑体" w:eastAsia="黑体" w:cs="黑体"/>
          <w:b w:val="0"/>
          <w:bCs/>
          <w:snapToGrid/>
          <w:color w:val="auto"/>
          <w:kern w:val="2"/>
          <w:sz w:val="32"/>
          <w:szCs w:val="32"/>
          <w:lang w:bidi="ar-SA"/>
        </w:rPr>
        <w:t>一、指导思想</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以习近平新时代中国特色社会主义思想为指导，深入贯彻党的二十大精神和习近平总书记关于职业教育工作的重要指示批示精神，全面落实党中央、国务院关于职业教育的重要部署，推动教育强国建设，坚持以赛促教、以赛促学、以赛促改、以赛促研，赛出高风格，赛出真水平，赛出基本功，充分发挥比赛的引领示范作用，引导各地各校落实立德树人根本任务，促进“三全育人”体系建设，探索“岗课赛证”综合育人，落实职业教育国家教学标准和课程思政要求，持续深化教师、教材、教法改革和教育数字化转型发展，推进高水平、结构化教师教学创新团队建设，促进“能说会做善导”的“双师型”教师成长，不断提高教师的师德践行能力、专业教学能力、数字素养水平、综合育人能力和自主发展能力，促进学生全面发展、技能成才。</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snapToGrid/>
          <w:color w:val="auto"/>
          <w:kern w:val="2"/>
          <w:sz w:val="32"/>
          <w:szCs w:val="32"/>
          <w:lang w:val="en-US" w:eastAsia="zh-CN" w:bidi="ar-SA"/>
        </w:rPr>
      </w:pPr>
      <w:r>
        <w:rPr>
          <w:rFonts w:hint="eastAsia" w:ascii="黑体" w:hAnsi="黑体" w:eastAsia="黑体" w:cs="黑体"/>
          <w:b w:val="0"/>
          <w:bCs/>
          <w:snapToGrid/>
          <w:color w:val="auto"/>
          <w:kern w:val="2"/>
          <w:sz w:val="32"/>
          <w:szCs w:val="32"/>
          <w:lang w:val="en-US" w:eastAsia="zh-CN" w:bidi="ar-SA"/>
        </w:rPr>
        <w:t>二、比赛内容</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重点考察教学团队（3-4人）针对某门课程中部分教学内容完成教学设计、实施课堂教学、达成教学目标、进行反思改进的能力。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教学内容。根据职业教育国家教学标准和相关文件要求，对接职业标准（规范）、职业技能等级标准等，契合层次定位，优化课程结构、更新教学内容。公共基础课程内容体现思想性、科学性、基础性、职业性、时代性，体现学科知识与行业（或职业）应用场景的融合。专业课程内容对接新方法、新技术、新工艺、新标准，体现专业升级和数字化转型、绿色化改造，鼓励按照生产实际和岗位需求设计模块化课程。结合教学实际融入科学精神、工程思维、创新意识和数字素养，注重劳动精神、工匠精神、劳模精神培育。</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2.教学设计。依据国家教学标准、学校专业人才培养方案和课程标准，针对参赛教学内容，进行学情分析，确定教学目标，制定教学策略，优化教学过程。针对不同生源分类施教、因材施教。合理运用平台、技术、方法和资源等组织课堂教学。提高课程思政内涵融入课堂教学的水平，杜绝各种形式主义。公共基础课根据学科特点选用恰当的教法学法；专业课程鼓励实施项目式、任务式、案例式、情境化教学，强化工学结合、理实一体、手脑并用。</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3.教学实施。落实育人为本，重视对学生思想政治素质和职业综合素养的培育；体现以学生为中心教学，开展师生、生生有效互动；突出重点突破难点，合理运用教学资源、教学方法，推动深度学习，提高学生基于任务（项目）的分析和解决问题能力；采用现代信息技术收集教学过程真实数据，并根据反映出的问题适时调整教学策略。专业课程倡导引入典型生产案例；实习实训应落实《职业学校学生实习管理规定》、岗位实习标准、实训教学条件建设标准等，教师规范操作、有效示教。按照《职业院校教材管理办法》要求规范选用教材，鼓励使用新型活页式、工作手册式教材和数字教材。中等职业学校执行手机“禁止带入课堂”的要求。</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4.教学评价。聚焦教学目标达成，关注学生全面成长，重点考核学生分析解决实际问题的能力。注重过程评价与结果评价相结合，探索增值评价，健全综合评价；鼓励运用大数据、人工智能等现代信息技术开展学习行为的精准分析，个性化评价学生的学习成果和学习成效。</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5.教学反思。深度思考在教学设计、教学实施、教学评价过程中的经验与不足，总结在更新教育理念、落实课程思政、优化教学内容、创新教学模式、转变教师角色、改进教学评价、运用信息技术、培育数字素养等方面的改革与创新，做到设计理念、教学实施、育人成效的有机统一，成为传道授业解惑赋能的“大先生”。</w:t>
      </w:r>
    </w:p>
    <w:p>
      <w:pPr>
        <w:pStyle w:val="19"/>
        <w:keepNext w:val="0"/>
        <w:keepLines w:val="0"/>
        <w:pageBreakBefore w:val="0"/>
        <w:widowControl w:val="0"/>
        <w:tabs>
          <w:tab w:val="left" w:pos="1179"/>
        </w:tabs>
        <w:kinsoku/>
        <w:wordWrap/>
        <w:overflowPunct/>
        <w:topLinePunct w:val="0"/>
        <w:autoSpaceDE/>
        <w:autoSpaceDN/>
        <w:bidi w:val="0"/>
        <w:adjustRightInd/>
        <w:snapToGrid w:val="0"/>
        <w:spacing w:line="560" w:lineRule="exact"/>
        <w:ind w:left="0" w:leftChars="0" w:right="0" w:firstLine="640" w:firstLineChars="200"/>
        <w:jc w:val="both"/>
        <w:textAlignment w:val="auto"/>
        <w:rPr>
          <w:rFonts w:hint="eastAsia" w:ascii="黑体" w:hAnsi="黑体" w:eastAsia="黑体" w:cs="仿宋_GB2312"/>
          <w:b w:val="0"/>
          <w:bCs/>
          <w:snapToGrid/>
          <w:color w:val="auto"/>
          <w:kern w:val="2"/>
          <w:sz w:val="32"/>
          <w:szCs w:val="32"/>
          <w:lang w:val="en-US" w:bidi="ar-SA"/>
        </w:rPr>
      </w:pPr>
      <w:r>
        <w:rPr>
          <w:rFonts w:hint="eastAsia" w:ascii="黑体" w:hAnsi="黑体" w:eastAsia="黑体" w:cs="仿宋_GB2312"/>
          <w:b w:val="0"/>
          <w:bCs/>
          <w:snapToGrid/>
          <w:color w:val="auto"/>
          <w:kern w:val="2"/>
          <w:sz w:val="32"/>
          <w:szCs w:val="32"/>
          <w:lang w:val="en-US" w:eastAsia="zh-CN" w:bidi="ar-SA"/>
        </w:rPr>
        <w:t>三</w:t>
      </w:r>
      <w:r>
        <w:rPr>
          <w:rFonts w:hint="eastAsia" w:ascii="黑体" w:hAnsi="黑体" w:eastAsia="黑体" w:cs="仿宋_GB2312"/>
          <w:b w:val="0"/>
          <w:bCs/>
          <w:snapToGrid/>
          <w:color w:val="auto"/>
          <w:kern w:val="2"/>
          <w:sz w:val="32"/>
          <w:szCs w:val="32"/>
          <w:lang w:val="en-US" w:bidi="ar-SA"/>
        </w:rPr>
        <w:t>、比赛分组</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比赛设置中等职业教育组（简称中职组）和高等职业教育组（简称高职组），各组分设3个报名组别。参赛的模块、单元、专题、项目或任务等应为有关课程中连续、完整的教学内容。</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1.公共基础课程组。参赛的教学内容应不少于12学时(不含中职思想政治类课程)。</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2.专业课程一组。参赛的教学内容应不少于16学时，参赛课程应为专业基础课、专业核心课或专业拓展（选修）课。</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3.专业课程二组。参赛的教学内容应不少于16学时，其中体现教师实操演示与指导的内容不少于8学时。参赛课程为专业核心课或专业拓展（选修）课，或专周实习实训、岗位实习等实践教学环节。</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五年制高职前三年课程参加中职组的比赛，五年制高职后二年课程</w:t>
      </w:r>
      <w:r>
        <w:rPr>
          <w:rFonts w:hint="eastAsia" w:ascii="仿宋_GB2312" w:hAnsi="仿宋_GB2312" w:eastAsia="仿宋_GB2312" w:cs="仿宋_GB2312"/>
          <w:b w:val="0"/>
          <w:bCs/>
          <w:snapToGrid/>
          <w:color w:val="auto"/>
          <w:kern w:val="2"/>
          <w:sz w:val="32"/>
          <w:szCs w:val="32"/>
          <w:lang w:val="en-US" w:eastAsia="zh-CN" w:bidi="ar-SA"/>
        </w:rPr>
        <w:t>以及本科层次职业教育学校、有专科在校生的示范性应用型本科高校和新建本科院校（以下简称有关本科院校）课程</w:t>
      </w:r>
      <w:r>
        <w:rPr>
          <w:rFonts w:hint="eastAsia" w:ascii="仿宋_GB2312" w:hAnsi="仿宋_GB2312" w:eastAsia="仿宋_GB2312" w:cs="仿宋_GB2312"/>
          <w:b w:val="0"/>
          <w:bCs/>
          <w:snapToGrid/>
          <w:color w:val="auto"/>
          <w:kern w:val="2"/>
          <w:sz w:val="32"/>
          <w:szCs w:val="32"/>
          <w:lang w:bidi="ar-SA"/>
        </w:rPr>
        <w:t>参加高职组的比赛。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snapToGrid/>
          <w:color w:val="auto"/>
          <w:kern w:val="2"/>
          <w:sz w:val="32"/>
          <w:szCs w:val="32"/>
          <w:lang w:val="en-US" w:eastAsia="zh-CN" w:bidi="ar-SA"/>
        </w:rPr>
      </w:pPr>
      <w:r>
        <w:rPr>
          <w:rFonts w:hint="eastAsia" w:ascii="黑体" w:hAnsi="黑体" w:eastAsia="黑体" w:cs="黑体"/>
          <w:b w:val="0"/>
          <w:bCs/>
          <w:snapToGrid/>
          <w:color w:val="auto"/>
          <w:kern w:val="2"/>
          <w:sz w:val="32"/>
          <w:szCs w:val="32"/>
          <w:lang w:val="en-US" w:eastAsia="zh-CN" w:bidi="ar-SA"/>
        </w:rPr>
        <w:t>四、参赛限额</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以各设区市教育局、平潭综合实验区社会事业局、高职院校、省属中职学校和有关本科院校为单位组成代表队参加比赛。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各设区市教育局、平潭综合实验区社会事业局负责选拔本地区教师组队参赛；高职院校、省属中职学校和有关本科院校负责选拔本校教师组队参赛。同一院校公共基础课程组的参赛内容不能出现学科（课程）的重复；专业课程一组和二组合并统计，不能出现专业类的重复。</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bidi="ar-SA"/>
        </w:rPr>
      </w:pPr>
      <w:r>
        <w:rPr>
          <w:rFonts w:hint="eastAsia" w:ascii="楷体_GB2312" w:hAnsi="楷体_GB2312" w:eastAsia="楷体_GB2312" w:cs="楷体_GB2312"/>
          <w:b w:val="0"/>
          <w:bCs/>
          <w:snapToGrid/>
          <w:color w:val="auto"/>
          <w:kern w:val="2"/>
          <w:sz w:val="32"/>
          <w:szCs w:val="32"/>
          <w:lang w:val="en-US" w:eastAsia="zh-CN" w:bidi="ar-SA"/>
        </w:rPr>
        <w:t>（一）中等职业教育组</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公共基础课程组。同一学校同一门课程限报1件。每门课程福州市、厦门市、泉州市、漳州市限报3件，其他设区市限报2件，平潭综合实验区、省属中职学校限报1件。</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专业课程组。同一学校同一专业大类限报2件。每个专业大类的参赛作品福州市、厦门市、泉州市、漳州市限报10件，其他设区市限报6件，平潭综合实验区、省属中职学校限报2件。专业课程二组的参赛作品，不能少于上报专业课程作品总数的20%。</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bidi="ar-SA"/>
        </w:rPr>
      </w:pPr>
      <w:r>
        <w:rPr>
          <w:rFonts w:hint="eastAsia" w:ascii="楷体_GB2312" w:hAnsi="楷体_GB2312" w:eastAsia="楷体_GB2312" w:cs="楷体_GB2312"/>
          <w:b w:val="0"/>
          <w:bCs/>
          <w:snapToGrid/>
          <w:color w:val="auto"/>
          <w:kern w:val="2"/>
          <w:sz w:val="32"/>
          <w:szCs w:val="32"/>
          <w:lang w:val="en-US" w:eastAsia="zh-CN" w:bidi="ar-SA"/>
        </w:rPr>
        <w:t>（二）高等职业教育组</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公共基础课程组。同一公共基础课程每所院校限报1件。</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专业课程组。每个专业大类每所院校限报2件。专业课程二组的参赛作品不能少于上报专业课程作品总数的20%。</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bidi="ar-SA"/>
        </w:rPr>
      </w:pPr>
      <w:r>
        <w:rPr>
          <w:rFonts w:hint="eastAsia" w:ascii="楷体_GB2312" w:hAnsi="楷体_GB2312" w:eastAsia="楷体_GB2312" w:cs="楷体_GB2312"/>
          <w:b w:val="0"/>
          <w:bCs/>
          <w:snapToGrid/>
          <w:color w:val="auto"/>
          <w:kern w:val="2"/>
          <w:sz w:val="32"/>
          <w:szCs w:val="32"/>
          <w:lang w:val="en-US" w:eastAsia="zh-CN" w:bidi="ar-SA"/>
        </w:rPr>
        <w:t>（三）参赛名额奖励</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bidi="ar-SA"/>
        </w:rPr>
      </w:pPr>
      <w:r>
        <w:rPr>
          <w:rFonts w:hint="eastAsia" w:ascii="仿宋_GB2312" w:hAnsi="仿宋_GB2312" w:eastAsia="仿宋_GB2312" w:cs="仿宋_GB2312"/>
          <w:b w:val="0"/>
          <w:bCs/>
          <w:snapToGrid/>
          <w:color w:val="auto"/>
          <w:kern w:val="2"/>
          <w:sz w:val="32"/>
          <w:szCs w:val="32"/>
          <w:lang w:val="en-US" w:eastAsia="zh-CN" w:bidi="ar-SA"/>
        </w:rPr>
        <w:t>在2023年国赛中，获一等奖的教学团队所在院校奖励3个参赛名额，获二等奖的教学团队所在院校奖励2个参赛名额，获三等奖的教学团队所在院校奖励1个参赛名额，其中跨校组队的获奖教学团队奖励名额由跨校组队的院校协商分配。所奖励的参赛名额不受以上参赛限额限制。</w:t>
      </w:r>
    </w:p>
    <w:p>
      <w:pPr>
        <w:pStyle w:val="19"/>
        <w:keepNext w:val="0"/>
        <w:keepLines w:val="0"/>
        <w:pageBreakBefore w:val="0"/>
        <w:widowControl w:val="0"/>
        <w:tabs>
          <w:tab w:val="left" w:pos="1179"/>
        </w:tabs>
        <w:kinsoku/>
        <w:wordWrap/>
        <w:overflowPunct/>
        <w:topLinePunct w:val="0"/>
        <w:autoSpaceDE/>
        <w:autoSpaceDN/>
        <w:bidi w:val="0"/>
        <w:adjustRightInd/>
        <w:snapToGrid w:val="0"/>
        <w:spacing w:line="560" w:lineRule="exact"/>
        <w:ind w:left="0" w:leftChars="0" w:right="0" w:firstLine="640" w:firstLineChars="200"/>
        <w:jc w:val="both"/>
        <w:textAlignment w:val="auto"/>
        <w:rPr>
          <w:rFonts w:hint="eastAsia" w:ascii="黑体" w:hAnsi="黑体" w:eastAsia="黑体" w:cs="仿宋_GB2312"/>
          <w:b w:val="0"/>
          <w:bCs/>
          <w:snapToGrid/>
          <w:color w:val="auto"/>
          <w:kern w:val="2"/>
          <w:sz w:val="32"/>
          <w:szCs w:val="32"/>
          <w:lang w:val="en-US" w:eastAsia="zh-CN" w:bidi="ar-SA"/>
        </w:rPr>
      </w:pPr>
      <w:r>
        <w:rPr>
          <w:rFonts w:hint="eastAsia" w:ascii="黑体" w:hAnsi="黑体" w:eastAsia="黑体" w:cs="仿宋_GB2312"/>
          <w:b w:val="0"/>
          <w:bCs/>
          <w:snapToGrid/>
          <w:color w:val="auto"/>
          <w:kern w:val="2"/>
          <w:sz w:val="32"/>
          <w:szCs w:val="32"/>
          <w:lang w:val="en-US" w:eastAsia="zh-CN" w:bidi="ar-SA"/>
        </w:rPr>
        <w:t>五</w:t>
      </w:r>
      <w:r>
        <w:rPr>
          <w:rFonts w:hint="eastAsia" w:ascii="黑体" w:hAnsi="黑体" w:eastAsia="黑体" w:cs="仿宋_GB2312"/>
          <w:b w:val="0"/>
          <w:bCs/>
          <w:snapToGrid/>
          <w:color w:val="auto"/>
          <w:kern w:val="2"/>
          <w:sz w:val="32"/>
          <w:szCs w:val="32"/>
          <w:lang w:val="en-US" w:bidi="ar-SA"/>
        </w:rPr>
        <w:t>、比赛流程</w:t>
      </w:r>
      <w:r>
        <w:rPr>
          <w:rFonts w:hint="eastAsia" w:ascii="黑体" w:hAnsi="黑体" w:eastAsia="黑体" w:cs="仿宋_GB2312"/>
          <w:b w:val="0"/>
          <w:bCs/>
          <w:snapToGrid/>
          <w:color w:val="auto"/>
          <w:kern w:val="2"/>
          <w:sz w:val="32"/>
          <w:szCs w:val="32"/>
          <w:lang w:val="en-US" w:eastAsia="zh-CN" w:bidi="ar-SA"/>
        </w:rPr>
        <w:t xml:space="preserve"> </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1.资格审核。</w:t>
      </w:r>
      <w:r>
        <w:rPr>
          <w:rFonts w:hint="eastAsia" w:ascii="仿宋_GB2312" w:hAnsi="仿宋_GB2312" w:eastAsia="仿宋_GB2312" w:cs="仿宋_GB2312"/>
          <w:b w:val="0"/>
          <w:bCs/>
          <w:color w:val="auto"/>
          <w:kern w:val="2"/>
          <w:sz w:val="32"/>
          <w:szCs w:val="32"/>
          <w:highlight w:val="none"/>
          <w:lang w:eastAsia="zh-CN" w:bidi="ar-SA"/>
        </w:rPr>
        <w:t>各代表队</w:t>
      </w:r>
      <w:r>
        <w:rPr>
          <w:rFonts w:hint="eastAsia" w:ascii="仿宋_GB2312" w:hAnsi="仿宋_GB2312" w:eastAsia="仿宋_GB2312" w:cs="仿宋_GB2312"/>
          <w:b w:val="0"/>
          <w:bCs/>
          <w:snapToGrid/>
          <w:color w:val="auto"/>
          <w:kern w:val="2"/>
          <w:sz w:val="32"/>
          <w:szCs w:val="32"/>
          <w:lang w:bidi="ar-SA"/>
        </w:rPr>
        <w:t>对所属教学团队提交的专业备案、课程设置、班级学生、教学任务安排、团队成员身份等情况进行资格审核，对教学团队成员进行政治审核，并进行参赛资格的统一公示（模板见附件1）。对参赛资格方面提出质疑的，由所在</w:t>
      </w:r>
      <w:r>
        <w:rPr>
          <w:rFonts w:hint="eastAsia" w:ascii="仿宋_GB2312" w:hAnsi="仿宋_GB2312" w:eastAsia="仿宋_GB2312" w:cs="仿宋_GB2312"/>
          <w:b w:val="0"/>
          <w:bCs/>
          <w:color w:val="auto"/>
          <w:kern w:val="2"/>
          <w:sz w:val="32"/>
          <w:szCs w:val="32"/>
          <w:highlight w:val="none"/>
          <w:lang w:val="en-US" w:eastAsia="zh-CN" w:bidi="ar-SA"/>
        </w:rPr>
        <w:t>代表队</w:t>
      </w:r>
      <w:r>
        <w:rPr>
          <w:rFonts w:hint="eastAsia" w:ascii="仿宋_GB2312" w:hAnsi="仿宋_GB2312" w:eastAsia="仿宋_GB2312" w:cs="仿宋_GB2312"/>
          <w:b w:val="0"/>
          <w:bCs/>
          <w:snapToGrid/>
          <w:color w:val="auto"/>
          <w:kern w:val="2"/>
          <w:sz w:val="32"/>
          <w:szCs w:val="32"/>
          <w:lang w:bidi="ar-SA"/>
        </w:rPr>
        <w:t>负责核查、反馈；参赛资格方面存在问题的，取消参赛资格。</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2.内容审核。</w:t>
      </w:r>
      <w:r>
        <w:rPr>
          <w:rFonts w:hint="eastAsia" w:ascii="仿宋_GB2312" w:hAnsi="仿宋_GB2312" w:eastAsia="仿宋_GB2312" w:cs="仿宋_GB2312"/>
          <w:b w:val="0"/>
          <w:bCs/>
          <w:color w:val="auto"/>
          <w:kern w:val="2"/>
          <w:sz w:val="32"/>
          <w:szCs w:val="32"/>
          <w:highlight w:val="none"/>
          <w:lang w:eastAsia="zh-CN" w:bidi="ar-SA"/>
        </w:rPr>
        <w:t>各</w:t>
      </w:r>
      <w:r>
        <w:rPr>
          <w:rFonts w:hint="eastAsia" w:ascii="仿宋_GB2312" w:hAnsi="仿宋_GB2312" w:eastAsia="仿宋_GB2312" w:cs="仿宋_GB2312"/>
          <w:b w:val="0"/>
          <w:bCs/>
          <w:color w:val="auto"/>
          <w:kern w:val="2"/>
          <w:sz w:val="32"/>
          <w:szCs w:val="32"/>
          <w:highlight w:val="none"/>
          <w:lang w:val="en-US" w:eastAsia="zh-CN" w:bidi="ar-SA"/>
        </w:rPr>
        <w:t>校</w:t>
      </w:r>
      <w:r>
        <w:rPr>
          <w:rFonts w:hint="eastAsia" w:ascii="仿宋_GB2312" w:hAnsi="仿宋_GB2312" w:eastAsia="仿宋_GB2312" w:cs="仿宋_GB2312"/>
          <w:b w:val="0"/>
          <w:bCs/>
          <w:snapToGrid/>
          <w:color w:val="auto"/>
          <w:kern w:val="2"/>
          <w:sz w:val="32"/>
          <w:szCs w:val="32"/>
          <w:lang w:bidi="ar-SA"/>
        </w:rPr>
        <w:t>对参赛团队提交资料的内容进行思想性和科学性把关。参赛内容方面出现思想性问题和明显的科学性问题的，取消参赛资格。</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3</w:t>
      </w:r>
      <w:r>
        <w:rPr>
          <w:rFonts w:hint="eastAsia" w:ascii="仿宋_GB2312" w:hAnsi="仿宋_GB2312" w:eastAsia="仿宋_GB2312" w:cs="仿宋_GB2312"/>
          <w:b w:val="0"/>
          <w:bCs/>
          <w:snapToGrid/>
          <w:color w:val="auto"/>
          <w:kern w:val="2"/>
          <w:sz w:val="32"/>
          <w:szCs w:val="32"/>
          <w:lang w:bidi="ar-SA"/>
        </w:rPr>
        <w:t>.比赛组织。</w:t>
      </w:r>
      <w:r>
        <w:rPr>
          <w:rFonts w:hint="eastAsia" w:ascii="仿宋_GB2312" w:hAnsi="仿宋_GB2312" w:eastAsia="仿宋_GB2312" w:cs="仿宋_GB2312"/>
          <w:b w:val="0"/>
          <w:bCs/>
          <w:snapToGrid/>
          <w:color w:val="auto"/>
          <w:kern w:val="2"/>
          <w:sz w:val="32"/>
          <w:szCs w:val="32"/>
          <w:lang w:val="en-US" w:eastAsia="zh-CN" w:bidi="ar-SA"/>
        </w:rPr>
        <w:t>福建省职业院校教师技能大赛组委会办公室</w:t>
      </w:r>
      <w:r>
        <w:rPr>
          <w:rFonts w:hint="eastAsia" w:ascii="仿宋_GB2312" w:hAnsi="仿宋_GB2312" w:eastAsia="仿宋_GB2312" w:cs="仿宋_GB2312"/>
          <w:b w:val="0"/>
          <w:bCs/>
          <w:snapToGrid/>
          <w:color w:val="auto"/>
          <w:kern w:val="2"/>
          <w:sz w:val="32"/>
          <w:szCs w:val="32"/>
          <w:lang w:eastAsia="zh-CN" w:bidi="ar-SA"/>
        </w:rPr>
        <w:t>（</w:t>
      </w:r>
      <w:r>
        <w:rPr>
          <w:rFonts w:hint="eastAsia" w:ascii="仿宋_GB2312" w:hAnsi="仿宋_GB2312" w:eastAsia="仿宋_GB2312" w:cs="仿宋_GB2312"/>
          <w:b w:val="0"/>
          <w:bCs/>
          <w:snapToGrid/>
          <w:color w:val="auto"/>
          <w:kern w:val="2"/>
          <w:sz w:val="32"/>
          <w:szCs w:val="32"/>
          <w:lang w:val="en-US" w:eastAsia="zh-CN" w:bidi="ar-SA"/>
        </w:rPr>
        <w:t>以下简称大赛办）</w:t>
      </w:r>
      <w:r>
        <w:rPr>
          <w:rFonts w:hint="eastAsia" w:ascii="仿宋_GB2312" w:hAnsi="仿宋_GB2312" w:eastAsia="仿宋_GB2312" w:cs="仿宋_GB2312"/>
          <w:b w:val="0"/>
          <w:bCs/>
          <w:snapToGrid/>
          <w:color w:val="auto"/>
          <w:kern w:val="2"/>
          <w:sz w:val="32"/>
          <w:szCs w:val="32"/>
          <w:lang w:bidi="ar-SA"/>
        </w:rPr>
        <w:t>采取网络初评</w:t>
      </w:r>
      <w:r>
        <w:rPr>
          <w:rFonts w:hint="eastAsia" w:ascii="仿宋_GB2312" w:hAnsi="仿宋_GB2312" w:eastAsia="仿宋_GB2312" w:cs="仿宋_GB2312"/>
          <w:b w:val="0"/>
          <w:bCs/>
          <w:snapToGrid/>
          <w:color w:val="auto"/>
          <w:kern w:val="2"/>
          <w:sz w:val="32"/>
          <w:szCs w:val="32"/>
          <w:lang w:val="en-US" w:eastAsia="zh-CN" w:bidi="ar-SA"/>
        </w:rPr>
        <w:t>和现场</w:t>
      </w:r>
      <w:r>
        <w:rPr>
          <w:rFonts w:hint="eastAsia" w:ascii="仿宋_GB2312" w:hAnsi="仿宋_GB2312" w:eastAsia="仿宋_GB2312" w:cs="仿宋_GB2312"/>
          <w:b w:val="0"/>
          <w:bCs/>
          <w:snapToGrid/>
          <w:color w:val="auto"/>
          <w:kern w:val="2"/>
          <w:sz w:val="32"/>
          <w:szCs w:val="32"/>
          <w:lang w:bidi="ar-SA"/>
        </w:rPr>
        <w:t>决赛的方式</w:t>
      </w:r>
      <w:r>
        <w:rPr>
          <w:rFonts w:hint="eastAsia" w:ascii="仿宋_GB2312" w:hAnsi="仿宋_GB2312" w:eastAsia="仿宋_GB2312" w:cs="仿宋_GB2312"/>
          <w:b w:val="0"/>
          <w:bCs/>
          <w:snapToGrid/>
          <w:color w:val="auto"/>
          <w:kern w:val="2"/>
          <w:sz w:val="32"/>
          <w:szCs w:val="32"/>
          <w:lang w:val="en-US" w:eastAsia="zh-CN" w:bidi="ar-SA"/>
        </w:rPr>
        <w:t>开展比赛</w:t>
      </w:r>
      <w:r>
        <w:rPr>
          <w:rFonts w:hint="eastAsia" w:ascii="仿宋_GB2312" w:hAnsi="仿宋_GB2312" w:eastAsia="仿宋_GB2312" w:cs="仿宋_GB2312"/>
          <w:b w:val="0"/>
          <w:bCs/>
          <w:snapToGrid/>
          <w:color w:val="auto"/>
          <w:kern w:val="2"/>
          <w:sz w:val="32"/>
          <w:szCs w:val="32"/>
          <w:lang w:bidi="ar-SA"/>
        </w:rPr>
        <w:t>。网络初评主要评审参赛材料，确定三等奖及入围决赛的教学团队。决赛环节教学团队在决赛现场完成教学实施报告介绍</w:t>
      </w:r>
      <w:r>
        <w:rPr>
          <w:rFonts w:hint="eastAsia" w:ascii="仿宋_GB2312" w:hAnsi="仿宋_GB2312" w:eastAsia="仿宋_GB2312" w:cs="仿宋_GB2312"/>
          <w:b w:val="0"/>
          <w:bCs/>
          <w:snapToGrid/>
          <w:color w:val="auto"/>
          <w:kern w:val="2"/>
          <w:sz w:val="32"/>
          <w:szCs w:val="32"/>
          <w:lang w:eastAsia="zh-CN" w:bidi="ar-SA"/>
        </w:rPr>
        <w:t>、</w:t>
      </w:r>
      <w:r>
        <w:rPr>
          <w:rFonts w:hint="eastAsia" w:ascii="仿宋_GB2312" w:hAnsi="仿宋_GB2312" w:eastAsia="仿宋_GB2312" w:cs="仿宋_GB2312"/>
          <w:b w:val="0"/>
          <w:bCs/>
          <w:snapToGrid/>
          <w:color w:val="auto"/>
          <w:kern w:val="2"/>
          <w:sz w:val="32"/>
          <w:szCs w:val="32"/>
          <w:lang w:bidi="ar-SA"/>
        </w:rPr>
        <w:t>两段课堂教学展示及答辩。有关要求详见附件</w:t>
      </w:r>
      <w:r>
        <w:rPr>
          <w:rFonts w:hint="eastAsia" w:ascii="仿宋_GB2312" w:hAnsi="仿宋_GB2312" w:eastAsia="仿宋_GB2312" w:cs="仿宋_GB2312"/>
          <w:b w:val="0"/>
          <w:bCs/>
          <w:snapToGrid/>
          <w:color w:val="auto"/>
          <w:kern w:val="2"/>
          <w:sz w:val="32"/>
          <w:szCs w:val="32"/>
          <w:lang w:val="en-US" w:eastAsia="zh-CN" w:bidi="ar-SA"/>
        </w:rPr>
        <w:t>2</w:t>
      </w:r>
      <w:r>
        <w:rPr>
          <w:rFonts w:hint="eastAsia" w:ascii="仿宋_GB2312" w:hAnsi="仿宋_GB2312" w:eastAsia="仿宋_GB2312" w:cs="仿宋_GB2312"/>
          <w:b w:val="0"/>
          <w:bCs/>
          <w:snapToGrid/>
          <w:color w:val="auto"/>
          <w:kern w:val="2"/>
          <w:sz w:val="32"/>
          <w:szCs w:val="32"/>
          <w:lang w:bidi="ar-SA"/>
        </w:rPr>
        <w:t>。</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4</w:t>
      </w:r>
      <w:r>
        <w:rPr>
          <w:rFonts w:hint="eastAsia" w:ascii="仿宋_GB2312" w:hAnsi="仿宋_GB2312" w:eastAsia="仿宋_GB2312" w:cs="仿宋_GB2312"/>
          <w:b w:val="0"/>
          <w:bCs/>
          <w:snapToGrid/>
          <w:color w:val="auto"/>
          <w:kern w:val="2"/>
          <w:sz w:val="32"/>
          <w:szCs w:val="32"/>
          <w:lang w:bidi="ar-SA"/>
        </w:rPr>
        <w:t>.公示与申诉。决赛结束后公示参赛团队获奖名单。公示期间</w:t>
      </w:r>
      <w:r>
        <w:rPr>
          <w:rFonts w:hint="eastAsia" w:ascii="仿宋_GB2312" w:hAnsi="仿宋_GB2312" w:eastAsia="仿宋_GB2312" w:cs="仿宋_GB2312"/>
          <w:b w:val="0"/>
          <w:bCs/>
          <w:snapToGrid/>
          <w:color w:val="auto"/>
          <w:kern w:val="2"/>
          <w:sz w:val="32"/>
          <w:szCs w:val="32"/>
          <w:lang w:val="en-US" w:eastAsia="zh-CN" w:bidi="ar-SA"/>
        </w:rPr>
        <w:t>如有异议可向大赛办反映，大赛办</w:t>
      </w:r>
      <w:r>
        <w:rPr>
          <w:rFonts w:hint="eastAsia" w:ascii="仿宋_GB2312" w:hAnsi="仿宋_GB2312" w:eastAsia="仿宋_GB2312" w:cs="仿宋_GB2312"/>
          <w:b w:val="0"/>
          <w:bCs/>
          <w:snapToGrid/>
          <w:color w:val="auto"/>
          <w:kern w:val="2"/>
          <w:sz w:val="32"/>
          <w:szCs w:val="32"/>
          <w:lang w:bidi="ar-SA"/>
        </w:rPr>
        <w:t>接受实名书面形式投诉</w:t>
      </w:r>
      <w:r>
        <w:rPr>
          <w:rFonts w:hint="eastAsia" w:ascii="仿宋_GB2312" w:hAnsi="仿宋_GB2312" w:eastAsia="仿宋_GB2312" w:cs="仿宋_GB2312"/>
          <w:b w:val="0"/>
          <w:bCs/>
          <w:snapToGrid/>
          <w:color w:val="auto"/>
          <w:kern w:val="2"/>
          <w:sz w:val="32"/>
          <w:szCs w:val="32"/>
          <w:lang w:eastAsia="zh-CN" w:bidi="ar-SA"/>
        </w:rPr>
        <w:t>，</w:t>
      </w:r>
      <w:r>
        <w:rPr>
          <w:rFonts w:hint="eastAsia" w:ascii="仿宋_GB2312" w:hAnsi="仿宋_GB2312" w:eastAsia="仿宋_GB2312" w:cs="仿宋_GB2312"/>
          <w:b w:val="0"/>
          <w:bCs/>
          <w:snapToGrid/>
          <w:color w:val="auto"/>
          <w:kern w:val="2"/>
          <w:sz w:val="32"/>
          <w:szCs w:val="32"/>
          <w:lang w:bidi="ar-SA"/>
        </w:rPr>
        <w:t>不接受匿名投诉。单位申诉须学校领队签字并写明联系人信息；个人申诉须实名签字并写明所在单位和联系方式。</w:t>
      </w:r>
      <w:r>
        <w:rPr>
          <w:rFonts w:hint="eastAsia" w:ascii="仿宋_GB2312" w:hAnsi="仿宋_GB2312" w:eastAsia="仿宋_GB2312" w:cs="仿宋_GB2312"/>
          <w:color w:val="auto"/>
          <w:kern w:val="2"/>
          <w:sz w:val="32"/>
          <w:szCs w:val="32"/>
          <w:highlight w:val="none"/>
          <w:lang w:val="en-US" w:eastAsia="zh-CN" w:bidi="ar-SA"/>
        </w:rPr>
        <w:t>大赛办</w:t>
      </w:r>
      <w:r>
        <w:rPr>
          <w:rFonts w:hint="eastAsia" w:ascii="仿宋_GB2312" w:hAnsi="仿宋_GB2312" w:eastAsia="仿宋_GB2312" w:cs="仿宋_GB2312"/>
          <w:color w:val="auto"/>
          <w:kern w:val="2"/>
          <w:sz w:val="32"/>
          <w:szCs w:val="32"/>
          <w:highlight w:val="none"/>
          <w:lang w:bidi="ar-SA"/>
        </w:rPr>
        <w:t>组织调查核实，并提交</w:t>
      </w:r>
      <w:r>
        <w:rPr>
          <w:rFonts w:hint="eastAsia" w:ascii="仿宋_GB2312" w:hAnsi="仿宋_GB2312" w:eastAsia="仿宋_GB2312" w:cs="仿宋_GB2312"/>
          <w:color w:val="auto"/>
          <w:kern w:val="2"/>
          <w:sz w:val="32"/>
          <w:szCs w:val="32"/>
          <w:highlight w:val="none"/>
          <w:lang w:val="en-US" w:eastAsia="zh-CN" w:bidi="ar-SA"/>
        </w:rPr>
        <w:t>省教育厅</w:t>
      </w:r>
      <w:r>
        <w:rPr>
          <w:rFonts w:hint="eastAsia" w:ascii="仿宋_GB2312" w:hAnsi="仿宋_GB2312" w:eastAsia="仿宋_GB2312" w:cs="仿宋_GB2312"/>
          <w:color w:val="auto"/>
          <w:kern w:val="2"/>
          <w:sz w:val="32"/>
          <w:szCs w:val="32"/>
          <w:highlight w:val="none"/>
          <w:lang w:bidi="ar-SA"/>
        </w:rPr>
        <w:t>审定，向申诉人反馈处理结果。</w:t>
      </w:r>
    </w:p>
    <w:p>
      <w:pPr>
        <w:pStyle w:val="19"/>
        <w:keepNext w:val="0"/>
        <w:keepLines w:val="0"/>
        <w:pageBreakBefore w:val="0"/>
        <w:widowControl w:val="0"/>
        <w:tabs>
          <w:tab w:val="left" w:pos="1179"/>
        </w:tabs>
        <w:kinsoku/>
        <w:wordWrap/>
        <w:overflowPunct/>
        <w:topLinePunct w:val="0"/>
        <w:autoSpaceDE/>
        <w:autoSpaceDN/>
        <w:bidi w:val="0"/>
        <w:adjustRightInd/>
        <w:snapToGrid w:val="0"/>
        <w:spacing w:line="560" w:lineRule="exact"/>
        <w:ind w:left="0" w:leftChars="0" w:right="0" w:firstLine="640" w:firstLineChars="200"/>
        <w:jc w:val="both"/>
        <w:textAlignment w:val="auto"/>
        <w:rPr>
          <w:rFonts w:hint="eastAsia" w:ascii="黑体" w:hAnsi="黑体" w:eastAsia="黑体" w:cs="仿宋_GB2312"/>
          <w:b w:val="0"/>
          <w:bCs/>
          <w:snapToGrid/>
          <w:color w:val="auto"/>
          <w:kern w:val="2"/>
          <w:sz w:val="32"/>
          <w:szCs w:val="32"/>
          <w:lang w:val="en-US" w:bidi="ar-SA"/>
        </w:rPr>
      </w:pPr>
      <w:r>
        <w:rPr>
          <w:rFonts w:hint="eastAsia" w:ascii="黑体" w:hAnsi="黑体" w:eastAsia="黑体" w:cs="仿宋_GB2312"/>
          <w:b w:val="0"/>
          <w:bCs/>
          <w:snapToGrid/>
          <w:color w:val="auto"/>
          <w:kern w:val="2"/>
          <w:sz w:val="32"/>
          <w:szCs w:val="32"/>
          <w:lang w:val="en-US" w:eastAsia="zh-CN" w:bidi="ar-SA"/>
        </w:rPr>
        <w:t>六</w:t>
      </w:r>
      <w:r>
        <w:rPr>
          <w:rFonts w:hint="eastAsia" w:ascii="黑体" w:hAnsi="黑体" w:eastAsia="黑体" w:cs="仿宋_GB2312"/>
          <w:b w:val="0"/>
          <w:bCs/>
          <w:snapToGrid/>
          <w:color w:val="auto"/>
          <w:kern w:val="2"/>
          <w:sz w:val="32"/>
          <w:szCs w:val="32"/>
          <w:lang w:val="en-US" w:bidi="ar-SA"/>
        </w:rPr>
        <w:t>、奖励办法</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单项奖。坚持宁缺毋滥原则，各评审组分别设置一、二、三等奖，原则上不超过本组参赛团队总数的10%、20%、30%。一、二等奖根据网络初评（占30%）和现场决赛（占70%）成绩综合评定，三等奖根据网络初评得分确定。</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2.团体奖。综合</w:t>
      </w:r>
      <w:r>
        <w:rPr>
          <w:rFonts w:hint="eastAsia" w:ascii="仿宋_GB2312" w:hAnsi="仿宋_GB2312" w:eastAsia="仿宋_GB2312" w:cs="仿宋_GB2312"/>
          <w:b w:val="0"/>
          <w:bCs/>
          <w:snapToGrid/>
          <w:color w:val="auto"/>
          <w:kern w:val="2"/>
          <w:sz w:val="32"/>
          <w:szCs w:val="32"/>
          <w:lang w:val="en-US" w:eastAsia="zh-CN" w:bidi="ar-SA"/>
        </w:rPr>
        <w:t>市（校）</w:t>
      </w:r>
      <w:r>
        <w:rPr>
          <w:rFonts w:hint="eastAsia" w:ascii="仿宋_GB2312" w:hAnsi="仿宋_GB2312" w:eastAsia="仿宋_GB2312" w:cs="仿宋_GB2312"/>
          <w:b w:val="0"/>
          <w:bCs/>
          <w:snapToGrid/>
          <w:color w:val="auto"/>
          <w:kern w:val="2"/>
          <w:sz w:val="32"/>
          <w:szCs w:val="32"/>
          <w:lang w:bidi="ar-SA"/>
        </w:rPr>
        <w:t>级比赛组织情况、</w:t>
      </w:r>
      <w:r>
        <w:rPr>
          <w:rFonts w:hint="eastAsia" w:ascii="仿宋_GB2312" w:hAnsi="仿宋_GB2312" w:eastAsia="仿宋_GB2312" w:cs="仿宋_GB2312"/>
          <w:b w:val="0"/>
          <w:bCs/>
          <w:snapToGrid/>
          <w:color w:val="auto"/>
          <w:kern w:val="2"/>
          <w:sz w:val="32"/>
          <w:szCs w:val="32"/>
          <w:lang w:val="en-US" w:eastAsia="zh-CN" w:bidi="ar-SA"/>
        </w:rPr>
        <w:t>省赛</w:t>
      </w:r>
      <w:r>
        <w:rPr>
          <w:rFonts w:hint="eastAsia" w:ascii="仿宋_GB2312" w:hAnsi="仿宋_GB2312" w:eastAsia="仿宋_GB2312" w:cs="仿宋_GB2312"/>
          <w:b w:val="0"/>
          <w:bCs/>
          <w:snapToGrid/>
          <w:color w:val="auto"/>
          <w:kern w:val="2"/>
          <w:sz w:val="32"/>
          <w:szCs w:val="32"/>
          <w:lang w:bidi="ar-SA"/>
        </w:rPr>
        <w:t>参赛情况、参赛资格审核情况、参赛团队获奖情况等因素，评定最佳组织奖</w:t>
      </w:r>
      <w:r>
        <w:rPr>
          <w:rFonts w:hint="eastAsia" w:ascii="仿宋_GB2312" w:hAnsi="仿宋_GB2312" w:eastAsia="仿宋_GB2312" w:cs="仿宋_GB2312"/>
          <w:b w:val="0"/>
          <w:bCs/>
          <w:snapToGrid/>
          <w:color w:val="auto"/>
          <w:kern w:val="2"/>
          <w:sz w:val="32"/>
          <w:szCs w:val="32"/>
          <w:lang w:val="en-US" w:eastAsia="zh-CN" w:bidi="ar-SA"/>
        </w:rPr>
        <w:t>10</w:t>
      </w:r>
      <w:r>
        <w:rPr>
          <w:rFonts w:hint="eastAsia" w:ascii="仿宋_GB2312" w:hAnsi="仿宋_GB2312" w:eastAsia="仿宋_GB2312" w:cs="仿宋_GB2312"/>
          <w:b w:val="0"/>
          <w:bCs/>
          <w:snapToGrid/>
          <w:color w:val="auto"/>
          <w:kern w:val="2"/>
          <w:sz w:val="32"/>
          <w:szCs w:val="32"/>
          <w:lang w:bidi="ar-SA"/>
        </w:rPr>
        <w:t>个。</w:t>
      </w:r>
    </w:p>
    <w:p>
      <w:pPr>
        <w:pStyle w:val="19"/>
        <w:keepNext w:val="0"/>
        <w:keepLines w:val="0"/>
        <w:pageBreakBefore w:val="0"/>
        <w:widowControl w:val="0"/>
        <w:tabs>
          <w:tab w:val="left" w:pos="1179"/>
        </w:tabs>
        <w:kinsoku/>
        <w:wordWrap/>
        <w:overflowPunct/>
        <w:topLinePunct w:val="0"/>
        <w:autoSpaceDE/>
        <w:autoSpaceDN/>
        <w:bidi w:val="0"/>
        <w:adjustRightInd/>
        <w:snapToGrid w:val="0"/>
        <w:spacing w:line="560" w:lineRule="exact"/>
        <w:ind w:left="0" w:leftChars="0" w:right="0" w:firstLine="640" w:firstLineChars="200"/>
        <w:jc w:val="both"/>
        <w:textAlignment w:val="auto"/>
        <w:rPr>
          <w:rFonts w:hint="eastAsia" w:ascii="黑体" w:hAnsi="黑体" w:eastAsia="黑体" w:cs="仿宋_GB2312"/>
          <w:b w:val="0"/>
          <w:bCs/>
          <w:snapToGrid/>
          <w:color w:val="auto"/>
          <w:kern w:val="2"/>
          <w:sz w:val="32"/>
          <w:szCs w:val="32"/>
          <w:lang w:val="en-US" w:bidi="ar-SA"/>
        </w:rPr>
      </w:pPr>
      <w:r>
        <w:rPr>
          <w:rFonts w:hint="eastAsia" w:ascii="黑体" w:hAnsi="黑体" w:eastAsia="黑体" w:cs="仿宋_GB2312"/>
          <w:b w:val="0"/>
          <w:bCs/>
          <w:snapToGrid/>
          <w:color w:val="auto"/>
          <w:kern w:val="2"/>
          <w:sz w:val="32"/>
          <w:szCs w:val="32"/>
          <w:lang w:val="en-US" w:eastAsia="zh-CN" w:bidi="ar-SA"/>
        </w:rPr>
        <w:t>七</w:t>
      </w:r>
      <w:r>
        <w:rPr>
          <w:rFonts w:hint="eastAsia" w:ascii="黑体" w:hAnsi="黑体" w:eastAsia="黑体" w:cs="仿宋_GB2312"/>
          <w:b w:val="0"/>
          <w:bCs/>
          <w:snapToGrid/>
          <w:color w:val="auto"/>
          <w:kern w:val="2"/>
          <w:sz w:val="32"/>
          <w:szCs w:val="32"/>
          <w:lang w:val="en-US" w:bidi="ar-SA"/>
        </w:rPr>
        <w:t>、报名方式与要求</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1</w:t>
      </w:r>
      <w:r>
        <w:rPr>
          <w:rFonts w:hint="eastAsia" w:ascii="仿宋_GB2312" w:hAnsi="仿宋_GB2312" w:eastAsia="仿宋_GB2312" w:cs="仿宋_GB2312"/>
          <w:b w:val="0"/>
          <w:bCs/>
          <w:snapToGrid/>
          <w:color w:val="auto"/>
          <w:kern w:val="2"/>
          <w:sz w:val="32"/>
          <w:szCs w:val="32"/>
          <w:lang w:bidi="ar-SA"/>
        </w:rPr>
        <w:t>.鼓励国家级和省级职业教育教师教学创新团队、教学名师、教学成果奖主持人以及具有正高级专业技术职务的优秀教师报名参赛。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2.</w:t>
      </w:r>
      <w:r>
        <w:rPr>
          <w:rFonts w:hint="eastAsia" w:ascii="仿宋_GB2312" w:hAnsi="仿宋_GB2312" w:eastAsia="仿宋_GB2312" w:cs="仿宋_GB2312"/>
          <w:b w:val="0"/>
          <w:bCs/>
          <w:snapToGrid/>
          <w:color w:val="auto"/>
          <w:kern w:val="2"/>
          <w:sz w:val="32"/>
          <w:szCs w:val="32"/>
          <w:lang w:bidi="ar-SA"/>
        </w:rPr>
        <w:t>每个教学团队由近3年内实际承担参赛课程或相关课程教学任务的教师组成；教学团队结构合理，35岁以下（含）的教师不少于1人，具备高级专业技术职务或取得高级职业技能等级证书的教师不少于1人；专业课程组的教学团队中“双师型”教师占比在50%以上；学校正式聘用的企业兼职教师可按要求参加专业课程组的比赛，数量不超过1名。教学团队成员所在学校近3年内须实际开设了参赛的专业和课程，并有在校生。</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3.</w:t>
      </w:r>
      <w:r>
        <w:rPr>
          <w:rFonts w:hint="eastAsia" w:ascii="仿宋_GB2312" w:hAnsi="仿宋_GB2312" w:eastAsia="仿宋_GB2312" w:cs="仿宋_GB2312"/>
          <w:b w:val="0"/>
          <w:bCs/>
          <w:snapToGrid/>
          <w:color w:val="auto"/>
          <w:kern w:val="2"/>
          <w:sz w:val="32"/>
          <w:szCs w:val="32"/>
          <w:lang w:eastAsia="zh-CN" w:bidi="ar-SA"/>
        </w:rPr>
        <w:t>各代表队</w:t>
      </w:r>
      <w:r>
        <w:rPr>
          <w:rFonts w:hint="eastAsia" w:ascii="仿宋_GB2312" w:hAnsi="仿宋_GB2312" w:eastAsia="仿宋_GB2312" w:cs="仿宋_GB2312"/>
          <w:b w:val="0"/>
          <w:bCs/>
          <w:snapToGrid/>
          <w:color w:val="auto"/>
          <w:kern w:val="2"/>
          <w:sz w:val="32"/>
          <w:szCs w:val="32"/>
          <w:lang w:bidi="ar-SA"/>
        </w:rPr>
        <w:t>可在本</w:t>
      </w:r>
      <w:r>
        <w:rPr>
          <w:rFonts w:hint="eastAsia" w:ascii="仿宋_GB2312" w:hAnsi="仿宋_GB2312" w:eastAsia="仿宋_GB2312" w:cs="仿宋_GB2312"/>
          <w:b w:val="0"/>
          <w:bCs/>
          <w:snapToGrid/>
          <w:color w:val="auto"/>
          <w:kern w:val="2"/>
          <w:sz w:val="32"/>
          <w:szCs w:val="32"/>
          <w:lang w:val="en-US" w:eastAsia="zh-CN" w:bidi="ar-SA"/>
        </w:rPr>
        <w:t>省</w:t>
      </w:r>
      <w:r>
        <w:rPr>
          <w:rFonts w:hint="eastAsia" w:ascii="仿宋_GB2312" w:hAnsi="仿宋_GB2312" w:eastAsia="仿宋_GB2312" w:cs="仿宋_GB2312"/>
          <w:b w:val="0"/>
          <w:bCs/>
          <w:snapToGrid/>
          <w:color w:val="auto"/>
          <w:kern w:val="2"/>
          <w:sz w:val="32"/>
          <w:szCs w:val="32"/>
          <w:lang w:bidi="ar-SA"/>
        </w:rPr>
        <w:t>范围内跨校联合组建教学团队参赛，</w:t>
      </w:r>
      <w:r>
        <w:rPr>
          <w:rFonts w:hint="eastAsia" w:ascii="仿宋_GB2312" w:hAnsi="仿宋_GB2312" w:eastAsia="仿宋_GB2312" w:cs="仿宋_GB2312"/>
          <w:b w:val="0"/>
          <w:bCs/>
          <w:snapToGrid/>
          <w:color w:val="auto"/>
          <w:kern w:val="2"/>
          <w:sz w:val="32"/>
          <w:szCs w:val="32"/>
          <w:lang w:val="en-US" w:eastAsia="zh-CN" w:bidi="ar-SA"/>
        </w:rPr>
        <w:t>参赛名额只占用负责人所在学校的名额，</w:t>
      </w:r>
      <w:r>
        <w:rPr>
          <w:rFonts w:hint="eastAsia" w:ascii="仿宋_GB2312" w:hAnsi="仿宋_GB2312" w:eastAsia="仿宋_GB2312" w:cs="仿宋_GB2312"/>
          <w:b w:val="0"/>
          <w:bCs/>
          <w:snapToGrid/>
          <w:color w:val="auto"/>
          <w:kern w:val="2"/>
          <w:sz w:val="32"/>
          <w:szCs w:val="32"/>
          <w:lang w:bidi="ar-SA"/>
        </w:rPr>
        <w:t>中职学校、高职</w:t>
      </w:r>
      <w:r>
        <w:rPr>
          <w:rFonts w:hint="eastAsia" w:ascii="仿宋_GB2312" w:hAnsi="仿宋_GB2312" w:eastAsia="仿宋_GB2312" w:cs="仿宋_GB2312"/>
          <w:b w:val="0"/>
          <w:bCs/>
          <w:snapToGrid/>
          <w:color w:val="auto"/>
          <w:kern w:val="2"/>
          <w:sz w:val="32"/>
          <w:szCs w:val="32"/>
          <w:lang w:val="en-US" w:eastAsia="zh-CN" w:bidi="ar-SA"/>
        </w:rPr>
        <w:t>院校、本科院校</w:t>
      </w:r>
      <w:r>
        <w:rPr>
          <w:rFonts w:hint="eastAsia" w:ascii="仿宋_GB2312" w:hAnsi="仿宋_GB2312" w:eastAsia="仿宋_GB2312" w:cs="仿宋_GB2312"/>
          <w:b w:val="0"/>
          <w:bCs/>
          <w:snapToGrid/>
          <w:color w:val="auto"/>
          <w:kern w:val="2"/>
          <w:sz w:val="32"/>
          <w:szCs w:val="32"/>
          <w:lang w:bidi="ar-SA"/>
        </w:rPr>
        <w:t>不得混合组队参赛。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4</w:t>
      </w:r>
      <w:r>
        <w:rPr>
          <w:rFonts w:hint="eastAsia" w:ascii="仿宋_GB2312" w:hAnsi="仿宋_GB2312" w:eastAsia="仿宋_GB2312" w:cs="仿宋_GB2312"/>
          <w:b w:val="0"/>
          <w:bCs/>
          <w:snapToGrid/>
          <w:color w:val="auto"/>
          <w:kern w:val="2"/>
          <w:sz w:val="32"/>
          <w:szCs w:val="32"/>
          <w:lang w:bidi="ar-SA"/>
        </w:rPr>
        <w:t>.</w:t>
      </w:r>
      <w:r>
        <w:rPr>
          <w:rFonts w:hint="eastAsia" w:ascii="仿宋_GB2312" w:hAnsi="仿宋_GB2312" w:eastAsia="仿宋_GB2312" w:cs="仿宋_GB2312"/>
          <w:b w:val="0"/>
          <w:bCs/>
          <w:snapToGrid/>
          <w:color w:val="auto"/>
          <w:kern w:val="2"/>
          <w:sz w:val="32"/>
          <w:szCs w:val="32"/>
          <w:lang w:val="en-US" w:eastAsia="zh-CN" w:bidi="ar-SA"/>
        </w:rPr>
        <w:t>2022年、2023年</w:t>
      </w:r>
      <w:r>
        <w:rPr>
          <w:rFonts w:hint="eastAsia" w:ascii="仿宋_GB2312" w:hAnsi="仿宋_GB2312" w:eastAsia="仿宋_GB2312" w:cs="仿宋_GB2312"/>
          <w:b w:val="0"/>
          <w:bCs/>
          <w:color w:val="auto"/>
          <w:kern w:val="2"/>
          <w:sz w:val="32"/>
          <w:szCs w:val="32"/>
          <w:lang w:bidi="ar-SA"/>
        </w:rPr>
        <w:t>获得过</w:t>
      </w:r>
      <w:r>
        <w:rPr>
          <w:rFonts w:hint="eastAsia" w:ascii="仿宋_GB2312" w:hAnsi="仿宋_GB2312" w:eastAsia="仿宋_GB2312" w:cs="仿宋_GB2312"/>
          <w:b w:val="0"/>
          <w:bCs/>
          <w:color w:val="auto"/>
          <w:kern w:val="2"/>
          <w:sz w:val="32"/>
          <w:szCs w:val="32"/>
          <w:lang w:val="en-US" w:eastAsia="zh-CN" w:bidi="ar-SA"/>
        </w:rPr>
        <w:t>国赛</w:t>
      </w:r>
      <w:r>
        <w:rPr>
          <w:rFonts w:hint="eastAsia" w:ascii="仿宋_GB2312" w:hAnsi="仿宋_GB2312" w:eastAsia="仿宋_GB2312" w:cs="仿宋_GB2312"/>
          <w:b w:val="0"/>
          <w:bCs/>
          <w:color w:val="auto"/>
          <w:kern w:val="2"/>
          <w:sz w:val="32"/>
          <w:szCs w:val="32"/>
          <w:lang w:bidi="ar-SA"/>
        </w:rPr>
        <w:t>一等奖的教学团队各成员不能报名</w:t>
      </w:r>
      <w:r>
        <w:rPr>
          <w:rFonts w:hint="eastAsia" w:ascii="仿宋_GB2312" w:hAnsi="仿宋_GB2312" w:eastAsia="仿宋_GB2312" w:cs="仿宋_GB2312"/>
          <w:b w:val="0"/>
          <w:bCs/>
          <w:snapToGrid/>
          <w:color w:val="auto"/>
          <w:kern w:val="2"/>
          <w:sz w:val="32"/>
          <w:szCs w:val="32"/>
          <w:lang w:val="en-US" w:eastAsia="zh-CN" w:bidi="ar-SA"/>
        </w:rPr>
        <w:t>参加2024年省赛</w:t>
      </w:r>
      <w:r>
        <w:rPr>
          <w:rFonts w:hint="eastAsia" w:ascii="仿宋_GB2312" w:hAnsi="仿宋_GB2312" w:eastAsia="仿宋_GB2312" w:cs="仿宋_GB2312"/>
          <w:b w:val="0"/>
          <w:bCs/>
          <w:color w:val="auto"/>
          <w:kern w:val="2"/>
          <w:sz w:val="32"/>
          <w:szCs w:val="32"/>
          <w:lang w:bidi="ar-SA"/>
        </w:rPr>
        <w:t>，其所有成员所在学校不能以同一公共基础课或同一专业</w:t>
      </w:r>
      <w:r>
        <w:rPr>
          <w:rFonts w:hint="eastAsia" w:ascii="仿宋_GB2312" w:hAnsi="仿宋_GB2312" w:eastAsia="仿宋_GB2312" w:cs="仿宋_GB2312"/>
          <w:b w:val="0"/>
          <w:bCs/>
          <w:color w:val="auto"/>
          <w:kern w:val="2"/>
          <w:sz w:val="32"/>
          <w:szCs w:val="32"/>
          <w:lang w:val="en-US" w:eastAsia="zh-CN" w:bidi="ar-SA"/>
        </w:rPr>
        <w:t>类</w:t>
      </w:r>
      <w:r>
        <w:rPr>
          <w:rFonts w:hint="eastAsia" w:ascii="仿宋_GB2312" w:hAnsi="仿宋_GB2312" w:eastAsia="仿宋_GB2312" w:cs="仿宋_GB2312"/>
          <w:b w:val="0"/>
          <w:bCs/>
          <w:color w:val="auto"/>
          <w:kern w:val="2"/>
          <w:sz w:val="32"/>
          <w:szCs w:val="32"/>
          <w:lang w:bidi="ar-SA"/>
        </w:rPr>
        <w:t>报名参赛；</w:t>
      </w:r>
      <w:r>
        <w:rPr>
          <w:rFonts w:hint="eastAsia" w:ascii="仿宋_GB2312" w:hAnsi="仿宋_GB2312" w:eastAsia="仿宋_GB2312" w:cs="仿宋_GB2312"/>
          <w:b w:val="0"/>
          <w:bCs/>
          <w:color w:val="auto"/>
          <w:kern w:val="2"/>
          <w:sz w:val="32"/>
          <w:szCs w:val="32"/>
          <w:lang w:val="en-US" w:eastAsia="zh-CN" w:bidi="ar-SA"/>
        </w:rPr>
        <w:t>每个教学团队中至多一名教师参加过</w:t>
      </w:r>
      <w:r>
        <w:rPr>
          <w:rFonts w:hint="eastAsia" w:ascii="仿宋_GB2312" w:hAnsi="仿宋_GB2312" w:eastAsia="仿宋_GB2312" w:cs="仿宋_GB2312"/>
          <w:b w:val="0"/>
          <w:bCs/>
          <w:snapToGrid/>
          <w:color w:val="auto"/>
          <w:kern w:val="2"/>
          <w:sz w:val="32"/>
          <w:szCs w:val="32"/>
          <w:lang w:val="en-US" w:eastAsia="zh-CN" w:bidi="ar-SA"/>
        </w:rPr>
        <w:t>2022年、2023年</w:t>
      </w:r>
      <w:r>
        <w:rPr>
          <w:rFonts w:hint="eastAsia" w:ascii="仿宋_GB2312" w:hAnsi="仿宋_GB2312" w:eastAsia="仿宋_GB2312" w:cs="仿宋_GB2312"/>
          <w:b w:val="0"/>
          <w:bCs/>
          <w:color w:val="auto"/>
          <w:kern w:val="2"/>
          <w:sz w:val="32"/>
          <w:szCs w:val="32"/>
          <w:lang w:val="en-US" w:eastAsia="zh-CN" w:bidi="ar-SA"/>
        </w:rPr>
        <w:t>国赛</w:t>
      </w:r>
      <w:r>
        <w:rPr>
          <w:rFonts w:hint="eastAsia" w:ascii="仿宋_GB2312" w:hAnsi="仿宋_GB2312" w:eastAsia="仿宋_GB2312" w:cs="仿宋_GB2312"/>
          <w:b w:val="0"/>
          <w:bCs/>
          <w:color w:val="auto"/>
          <w:kern w:val="2"/>
          <w:sz w:val="32"/>
          <w:szCs w:val="32"/>
          <w:lang w:eastAsia="zh-CN" w:bidi="ar-SA"/>
        </w:rPr>
        <w:t>。</w:t>
      </w:r>
      <w:r>
        <w:rPr>
          <w:rFonts w:hint="eastAsia" w:ascii="仿宋_GB2312" w:hAnsi="仿宋_GB2312" w:eastAsia="仿宋_GB2312" w:cs="仿宋_GB2312"/>
          <w:b w:val="0"/>
          <w:bCs/>
          <w:snapToGrid/>
          <w:color w:val="auto"/>
          <w:kern w:val="2"/>
          <w:sz w:val="32"/>
          <w:szCs w:val="32"/>
          <w:lang w:val="en-US" w:eastAsia="zh-CN" w:bidi="ar-SA"/>
        </w:rPr>
        <w:t>2022年、2023年国赛原作品和省赛一等奖原作品不得参赛。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5</w:t>
      </w:r>
      <w:r>
        <w:rPr>
          <w:rFonts w:hint="eastAsia" w:ascii="仿宋_GB2312" w:hAnsi="仿宋_GB2312" w:eastAsia="仿宋_GB2312" w:cs="仿宋_GB2312"/>
          <w:b w:val="0"/>
          <w:bCs/>
          <w:snapToGrid/>
          <w:color w:val="auto"/>
          <w:kern w:val="2"/>
          <w:sz w:val="32"/>
          <w:szCs w:val="32"/>
          <w:lang w:bidi="ar-SA"/>
        </w:rPr>
        <w:t>.除《参赛报名表》《参赛汇总表》之外，参赛材料（含文件名及其属性）及决赛现场的展示答辩，不得泄露地区、学校名称及个人信息，</w:t>
      </w:r>
      <w:r>
        <w:rPr>
          <w:rFonts w:hint="eastAsia" w:ascii="仿宋_GB2312" w:hAnsi="仿宋_GB2312" w:eastAsia="仿宋_GB2312" w:cs="仿宋_GB2312"/>
          <w:b w:val="0"/>
          <w:bCs/>
          <w:color w:val="auto"/>
          <w:kern w:val="2"/>
          <w:sz w:val="32"/>
          <w:szCs w:val="32"/>
          <w:highlight w:val="none"/>
          <w:lang w:bidi="ar-SA"/>
        </w:rPr>
        <w:t>一经发现，视情节严重程度作出降档或者取消参赛资格处理。</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6</w:t>
      </w:r>
      <w:r>
        <w:rPr>
          <w:rFonts w:hint="eastAsia" w:ascii="仿宋_GB2312" w:hAnsi="仿宋_GB2312" w:eastAsia="仿宋_GB2312" w:cs="仿宋_GB2312"/>
          <w:b w:val="0"/>
          <w:bCs/>
          <w:snapToGrid/>
          <w:color w:val="auto"/>
          <w:kern w:val="2"/>
          <w:sz w:val="32"/>
          <w:szCs w:val="32"/>
          <w:lang w:bidi="ar-SA"/>
        </w:rPr>
        <w:t>.参赛材料应为原创，不得违反国家相关法律法规，不得侵犯他人知识产权，如引起知识产权异议或其他法律纠纷，取消参赛资格，承担相关法律责任。涉及软件使用的，应保证为正版软件，鼓励使用国产软件。除教学团队事前特别声明外，</w:t>
      </w:r>
      <w:r>
        <w:rPr>
          <w:rFonts w:hint="eastAsia" w:ascii="仿宋_GB2312" w:hAnsi="仿宋_GB2312" w:eastAsia="仿宋_GB2312" w:cs="仿宋_GB2312"/>
          <w:b w:val="0"/>
          <w:bCs/>
          <w:snapToGrid/>
          <w:color w:val="auto"/>
          <w:kern w:val="2"/>
          <w:sz w:val="32"/>
          <w:szCs w:val="32"/>
          <w:lang w:val="en-US" w:eastAsia="zh-CN" w:bidi="ar-SA"/>
        </w:rPr>
        <w:t>大赛办</w:t>
      </w:r>
      <w:r>
        <w:rPr>
          <w:rFonts w:hint="eastAsia" w:ascii="仿宋_GB2312" w:hAnsi="仿宋_GB2312" w:eastAsia="仿宋_GB2312" w:cs="仿宋_GB2312"/>
          <w:b w:val="0"/>
          <w:bCs/>
          <w:snapToGrid/>
          <w:color w:val="auto"/>
          <w:kern w:val="2"/>
          <w:sz w:val="32"/>
          <w:szCs w:val="32"/>
          <w:lang w:bidi="ar-SA"/>
        </w:rPr>
        <w:t>拥有对参赛材料进行公益性共享、展示的权利。</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7</w:t>
      </w:r>
      <w:r>
        <w:rPr>
          <w:rFonts w:hint="eastAsia" w:ascii="仿宋_GB2312" w:hAnsi="仿宋_GB2312" w:eastAsia="仿宋_GB2312" w:cs="仿宋_GB2312"/>
          <w:b w:val="0"/>
          <w:bCs/>
          <w:snapToGrid/>
          <w:color w:val="auto"/>
          <w:kern w:val="2"/>
          <w:sz w:val="32"/>
          <w:szCs w:val="32"/>
          <w:lang w:bidi="ar-SA"/>
        </w:rPr>
        <w:t>.</w:t>
      </w:r>
      <w:r>
        <w:rPr>
          <w:rFonts w:hint="eastAsia" w:ascii="仿宋_GB2312" w:hAnsi="仿宋_GB2312" w:eastAsia="仿宋_GB2312" w:cs="仿宋_GB2312"/>
          <w:b w:val="0"/>
          <w:bCs/>
          <w:snapToGrid/>
          <w:color w:val="auto"/>
          <w:kern w:val="2"/>
          <w:sz w:val="32"/>
          <w:szCs w:val="32"/>
          <w:lang w:val="en-US" w:eastAsia="zh-CN" w:bidi="ar-SA"/>
        </w:rPr>
        <w:t>大赛办</w:t>
      </w:r>
      <w:r>
        <w:rPr>
          <w:rFonts w:hint="eastAsia" w:ascii="仿宋_GB2312" w:hAnsi="仿宋_GB2312" w:eastAsia="仿宋_GB2312" w:cs="仿宋_GB2312"/>
          <w:b w:val="0"/>
          <w:bCs/>
          <w:snapToGrid/>
          <w:color w:val="auto"/>
          <w:kern w:val="2"/>
          <w:sz w:val="32"/>
          <w:szCs w:val="32"/>
          <w:lang w:bidi="ar-SA"/>
        </w:rPr>
        <w:t>不接受</w:t>
      </w:r>
      <w:r>
        <w:rPr>
          <w:rFonts w:hint="eastAsia" w:ascii="仿宋_GB2312" w:hAnsi="仿宋_GB2312" w:eastAsia="仿宋_GB2312" w:cs="仿宋_GB2312"/>
          <w:b w:val="0"/>
          <w:bCs/>
          <w:snapToGrid/>
          <w:color w:val="auto"/>
          <w:kern w:val="2"/>
          <w:sz w:val="32"/>
          <w:szCs w:val="32"/>
          <w:lang w:val="en-US" w:eastAsia="zh-CN" w:bidi="ar-SA"/>
        </w:rPr>
        <w:t>教学团队</w:t>
      </w:r>
      <w:r>
        <w:rPr>
          <w:rFonts w:hint="eastAsia" w:ascii="仿宋_GB2312" w:hAnsi="仿宋_GB2312" w:eastAsia="仿宋_GB2312" w:cs="仿宋_GB2312"/>
          <w:b w:val="0"/>
          <w:bCs/>
          <w:snapToGrid/>
          <w:color w:val="auto"/>
          <w:kern w:val="2"/>
          <w:sz w:val="32"/>
          <w:szCs w:val="32"/>
          <w:lang w:bidi="ar-SA"/>
        </w:rPr>
        <w:t>单独报名和材料报送。</w:t>
      </w:r>
      <w:r>
        <w:rPr>
          <w:rFonts w:hint="eastAsia" w:ascii="仿宋_GB2312" w:hAnsi="仿宋_GB2312" w:eastAsia="仿宋_GB2312" w:cs="仿宋_GB2312"/>
          <w:b w:val="0"/>
          <w:bCs/>
          <w:snapToGrid/>
          <w:color w:val="auto"/>
          <w:kern w:val="2"/>
          <w:sz w:val="32"/>
          <w:szCs w:val="32"/>
          <w:lang w:val="en-US" w:eastAsia="zh-CN" w:bidi="ar-SA"/>
        </w:rPr>
        <w:t>5月20日前，</w:t>
      </w:r>
      <w:r>
        <w:rPr>
          <w:rFonts w:hint="eastAsia" w:ascii="仿宋_GB2312" w:hAnsi="仿宋_GB2312" w:eastAsia="仿宋_GB2312" w:cs="仿宋_GB2312"/>
          <w:b w:val="0"/>
          <w:bCs/>
          <w:snapToGrid/>
          <w:color w:val="auto"/>
          <w:kern w:val="2"/>
          <w:sz w:val="32"/>
          <w:szCs w:val="32"/>
          <w:lang w:bidi="ar-SA"/>
        </w:rPr>
        <w:t>各代表队应指定专人</w:t>
      </w:r>
      <w:r>
        <w:rPr>
          <w:rFonts w:hint="eastAsia" w:ascii="仿宋_GB2312" w:hAnsi="仿宋_GB2312" w:eastAsia="仿宋_GB2312" w:cs="仿宋_GB2312"/>
          <w:b w:val="0"/>
          <w:bCs/>
          <w:snapToGrid/>
          <w:color w:val="auto"/>
          <w:kern w:val="2"/>
          <w:sz w:val="32"/>
          <w:szCs w:val="32"/>
          <w:lang w:val="en-US" w:eastAsia="zh-CN" w:bidi="ar-SA"/>
        </w:rPr>
        <w:t>汇总</w:t>
      </w:r>
      <w:r>
        <w:rPr>
          <w:rFonts w:hint="eastAsia" w:ascii="仿宋_GB2312" w:hAnsi="仿宋_GB2312" w:eastAsia="仿宋_GB2312" w:cs="仿宋_GB2312"/>
          <w:b w:val="0"/>
          <w:bCs/>
          <w:snapToGrid/>
          <w:color w:val="auto"/>
          <w:kern w:val="2"/>
          <w:sz w:val="32"/>
          <w:szCs w:val="32"/>
          <w:lang w:bidi="ar-SA"/>
        </w:rPr>
        <w:t>附件</w:t>
      </w:r>
      <w:r>
        <w:rPr>
          <w:rFonts w:hint="eastAsia" w:ascii="仿宋_GB2312" w:hAnsi="仿宋_GB2312" w:eastAsia="仿宋_GB2312" w:cs="仿宋_GB2312"/>
          <w:b w:val="0"/>
          <w:bCs/>
          <w:snapToGrid/>
          <w:color w:val="auto"/>
          <w:kern w:val="2"/>
          <w:sz w:val="32"/>
          <w:szCs w:val="32"/>
          <w:lang w:val="en-US" w:eastAsia="zh-CN" w:bidi="ar-SA"/>
        </w:rPr>
        <w:t>1、3、4、5</w:t>
      </w:r>
      <w:r>
        <w:rPr>
          <w:rFonts w:hint="eastAsia" w:ascii="仿宋_GB2312" w:hAnsi="仿宋_GB2312" w:eastAsia="仿宋_GB2312" w:cs="仿宋_GB2312"/>
          <w:b w:val="0"/>
          <w:bCs/>
          <w:snapToGrid/>
          <w:color w:val="auto"/>
          <w:kern w:val="2"/>
          <w:sz w:val="32"/>
          <w:szCs w:val="32"/>
          <w:lang w:bidi="ar-SA"/>
        </w:rPr>
        <w:t>，加盖公章后</w:t>
      </w:r>
      <w:r>
        <w:rPr>
          <w:rFonts w:hint="eastAsia" w:ascii="仿宋_GB2312" w:hAnsi="仿宋_GB2312" w:eastAsia="仿宋_GB2312" w:cs="仿宋_GB2312"/>
          <w:b w:val="0"/>
          <w:bCs/>
          <w:snapToGrid/>
          <w:color w:val="auto"/>
          <w:kern w:val="2"/>
          <w:sz w:val="32"/>
          <w:szCs w:val="32"/>
          <w:lang w:eastAsia="zh-CN" w:bidi="ar-SA"/>
        </w:rPr>
        <w:t>，</w:t>
      </w:r>
      <w:r>
        <w:rPr>
          <w:rFonts w:hint="eastAsia" w:ascii="仿宋_GB2312" w:hAnsi="仿宋_GB2312" w:eastAsia="仿宋_GB2312" w:cs="仿宋_GB2312"/>
          <w:b w:val="0"/>
          <w:bCs/>
          <w:snapToGrid/>
          <w:color w:val="auto"/>
          <w:kern w:val="2"/>
          <w:sz w:val="32"/>
          <w:szCs w:val="32"/>
          <w:lang w:val="en-US" w:eastAsia="zh-CN" w:bidi="ar-SA"/>
        </w:rPr>
        <w:t>寄送至大赛办（</w:t>
      </w:r>
      <w:r>
        <w:rPr>
          <w:rFonts w:hint="eastAsia" w:ascii="仿宋_GB2312" w:hAnsi="仿宋_GB2312" w:eastAsia="仿宋_GB2312" w:cs="仿宋_GB2312"/>
          <w:snapToGrid/>
          <w:color w:val="auto"/>
          <w:kern w:val="2"/>
          <w:sz w:val="32"/>
          <w:szCs w:val="32"/>
          <w:lang w:val="en-US" w:eastAsia="zh-CN" w:bidi="ar-SA"/>
        </w:rPr>
        <w:t>地址：福州市福清市宏路街道石竹路123号</w:t>
      </w:r>
      <w:r>
        <w:rPr>
          <w:rFonts w:hint="eastAsia" w:ascii="仿宋_GB2312" w:hAnsi="仿宋_GB2312" w:eastAsia="仿宋_GB2312" w:cs="仿宋_GB2312"/>
          <w:b w:val="0"/>
          <w:bCs/>
          <w:snapToGrid/>
          <w:color w:val="auto"/>
          <w:kern w:val="2"/>
          <w:sz w:val="32"/>
          <w:szCs w:val="32"/>
          <w:lang w:val="en-US" w:eastAsia="zh-CN" w:bidi="ar-SA"/>
        </w:rPr>
        <w:t>），并在</w:t>
      </w:r>
      <w:r>
        <w:rPr>
          <w:rFonts w:hint="eastAsia" w:ascii="仿宋_GB2312" w:hAnsi="仿宋_GB2312" w:eastAsia="仿宋_GB2312" w:cs="仿宋_GB2312"/>
          <w:snapToGrid/>
          <w:color w:val="auto"/>
          <w:kern w:val="2"/>
          <w:sz w:val="32"/>
          <w:szCs w:val="32"/>
          <w:lang w:val="en-US" w:eastAsia="zh-CN" w:bidi="ar-SA"/>
        </w:rPr>
        <w:t>福建智慧教育平台（网址：http://www.fj.smartedu.cn/）中“福建职业教育智慧教育平台-职业院校技能大赛”专栏</w:t>
      </w:r>
      <w:r>
        <w:rPr>
          <w:rFonts w:hint="eastAsia" w:ascii="仿宋_GB2312" w:hAnsi="仿宋_GB2312" w:eastAsia="仿宋_GB2312" w:cs="仿宋_GB2312"/>
          <w:b w:val="0"/>
          <w:bCs/>
          <w:snapToGrid/>
          <w:color w:val="auto"/>
          <w:kern w:val="2"/>
          <w:sz w:val="32"/>
          <w:szCs w:val="32"/>
          <w:lang w:val="en-US" w:eastAsia="zh-CN" w:bidi="ar-SA"/>
        </w:rPr>
        <w:t>按要求完成网上报名工作。用户名、初始密码加入联络群后咨询工作人员。</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8.6月10日前，各代表</w:t>
      </w:r>
      <w:r>
        <w:rPr>
          <w:rFonts w:hint="eastAsia" w:ascii="仿宋_GB2312" w:hAnsi="仿宋_GB2312" w:eastAsia="仿宋_GB2312" w:cs="仿宋_GB2312"/>
          <w:b w:val="0"/>
          <w:bCs/>
          <w:snapToGrid/>
          <w:color w:val="auto"/>
          <w:kern w:val="2"/>
          <w:sz w:val="32"/>
          <w:szCs w:val="32"/>
          <w:lang w:bidi="ar-SA"/>
        </w:rPr>
        <w:t>队按要求完成所有参赛材料的网上提交工作。</w:t>
      </w:r>
    </w:p>
    <w:p>
      <w:pPr>
        <w:pStyle w:val="19"/>
        <w:keepNext w:val="0"/>
        <w:keepLines w:val="0"/>
        <w:pageBreakBefore w:val="0"/>
        <w:widowControl w:val="0"/>
        <w:tabs>
          <w:tab w:val="left" w:pos="1179"/>
        </w:tabs>
        <w:kinsoku/>
        <w:wordWrap/>
        <w:overflowPunct/>
        <w:topLinePunct w:val="0"/>
        <w:autoSpaceDE/>
        <w:autoSpaceDN/>
        <w:bidi w:val="0"/>
        <w:adjustRightInd/>
        <w:snapToGrid w:val="0"/>
        <w:spacing w:line="560" w:lineRule="exact"/>
        <w:ind w:left="0" w:leftChars="0" w:right="0" w:firstLine="640" w:firstLineChars="200"/>
        <w:jc w:val="both"/>
        <w:textAlignment w:val="auto"/>
        <w:rPr>
          <w:rFonts w:hint="eastAsia" w:ascii="黑体" w:hAnsi="黑体" w:eastAsia="黑体" w:cs="仿宋_GB2312"/>
          <w:b w:val="0"/>
          <w:bCs/>
          <w:snapToGrid/>
          <w:color w:val="auto"/>
          <w:kern w:val="2"/>
          <w:sz w:val="32"/>
          <w:szCs w:val="32"/>
          <w:lang w:val="en-US" w:bidi="ar-SA"/>
        </w:rPr>
      </w:pPr>
      <w:r>
        <w:rPr>
          <w:rFonts w:hint="eastAsia" w:ascii="黑体" w:hAnsi="黑体" w:eastAsia="黑体" w:cs="仿宋_GB2312"/>
          <w:b w:val="0"/>
          <w:bCs/>
          <w:snapToGrid/>
          <w:color w:val="auto"/>
          <w:kern w:val="2"/>
          <w:sz w:val="32"/>
          <w:szCs w:val="32"/>
          <w:lang w:val="en-US" w:eastAsia="zh-CN" w:bidi="ar-SA"/>
        </w:rPr>
        <w:t>八</w:t>
      </w:r>
      <w:r>
        <w:rPr>
          <w:rFonts w:hint="eastAsia" w:ascii="黑体" w:hAnsi="黑体" w:eastAsia="黑体" w:cs="仿宋_GB2312"/>
          <w:b w:val="0"/>
          <w:bCs/>
          <w:snapToGrid/>
          <w:color w:val="auto"/>
          <w:kern w:val="2"/>
          <w:sz w:val="32"/>
          <w:szCs w:val="32"/>
          <w:lang w:val="en-US" w:bidi="ar-SA"/>
        </w:rPr>
        <w:t>、其他</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1.各代表队要统筹做好202</w:t>
      </w:r>
      <w:r>
        <w:rPr>
          <w:rFonts w:hint="eastAsia" w:ascii="仿宋_GB2312" w:hAnsi="仿宋_GB2312" w:eastAsia="仿宋_GB2312" w:cs="仿宋_GB2312"/>
          <w:b w:val="0"/>
          <w:bCs/>
          <w:snapToGrid/>
          <w:color w:val="auto"/>
          <w:kern w:val="2"/>
          <w:sz w:val="32"/>
          <w:szCs w:val="32"/>
          <w:lang w:val="en-US" w:eastAsia="zh-CN" w:bidi="ar-SA"/>
        </w:rPr>
        <w:t>4</w:t>
      </w:r>
      <w:r>
        <w:rPr>
          <w:rFonts w:hint="eastAsia" w:ascii="仿宋_GB2312" w:hAnsi="仿宋_GB2312" w:eastAsia="仿宋_GB2312" w:cs="仿宋_GB2312"/>
          <w:b w:val="0"/>
          <w:bCs/>
          <w:snapToGrid/>
          <w:color w:val="auto"/>
          <w:kern w:val="2"/>
          <w:sz w:val="32"/>
          <w:szCs w:val="32"/>
          <w:lang w:bidi="ar-SA"/>
        </w:rPr>
        <w:t>年教学能力比赛各项准备工作，有序组织校赛和</w:t>
      </w:r>
      <w:r>
        <w:rPr>
          <w:rFonts w:hint="eastAsia" w:ascii="仿宋_GB2312" w:hAnsi="仿宋_GB2312" w:eastAsia="仿宋_GB2312" w:cs="仿宋_GB2312"/>
          <w:b w:val="0"/>
          <w:bCs/>
          <w:snapToGrid/>
          <w:color w:val="auto"/>
          <w:kern w:val="2"/>
          <w:sz w:val="32"/>
          <w:szCs w:val="32"/>
          <w:lang w:val="en-US" w:eastAsia="zh-CN" w:bidi="ar-SA"/>
        </w:rPr>
        <w:t>市</w:t>
      </w:r>
      <w:r>
        <w:rPr>
          <w:rFonts w:hint="eastAsia" w:ascii="仿宋_GB2312" w:hAnsi="仿宋_GB2312" w:eastAsia="仿宋_GB2312" w:cs="仿宋_GB2312"/>
          <w:b w:val="0"/>
          <w:bCs/>
          <w:snapToGrid/>
          <w:color w:val="auto"/>
          <w:kern w:val="2"/>
          <w:sz w:val="32"/>
          <w:szCs w:val="32"/>
          <w:lang w:bidi="ar-SA"/>
        </w:rPr>
        <w:t>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2</w:t>
      </w:r>
      <w:r>
        <w:rPr>
          <w:rFonts w:hint="eastAsia" w:ascii="仿宋_GB2312" w:hAnsi="仿宋_GB2312" w:eastAsia="仿宋_GB2312" w:cs="仿宋_GB2312"/>
          <w:b w:val="0"/>
          <w:bCs/>
          <w:snapToGrid/>
          <w:color w:val="auto"/>
          <w:kern w:val="2"/>
          <w:sz w:val="32"/>
          <w:szCs w:val="32"/>
          <w:lang w:bidi="ar-SA"/>
        </w:rPr>
        <w:t>.欢迎社会各界对违背职业教育规律和客观实际、以虚假教学内容或虚假师生身份参赛等行为予以监督，一经核实，取消所在教学团队参赛资格以及所在代表队团体奖评奖资格（奖项评出后发现的，依规追回奖项），</w:t>
      </w:r>
      <w:r>
        <w:rPr>
          <w:rFonts w:hint="eastAsia" w:ascii="仿宋_GB2312" w:hAnsi="仿宋_GB2312" w:eastAsia="仿宋_GB2312" w:cs="仿宋_GB2312"/>
          <w:b w:val="0"/>
          <w:bCs/>
          <w:snapToGrid/>
          <w:color w:val="auto"/>
          <w:kern w:val="2"/>
          <w:sz w:val="32"/>
          <w:szCs w:val="32"/>
          <w:lang w:val="en-US" w:eastAsia="zh-CN" w:bidi="ar-SA"/>
        </w:rPr>
        <w:t>减少所在代表队下一年参赛名额，暂停该教学团队所在学校下一年的参赛资格，并通报处理。</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3</w:t>
      </w:r>
      <w:r>
        <w:rPr>
          <w:rFonts w:hint="eastAsia" w:ascii="仿宋_GB2312" w:hAnsi="仿宋_GB2312" w:eastAsia="仿宋_GB2312" w:cs="仿宋_GB2312"/>
          <w:b w:val="0"/>
          <w:bCs/>
          <w:snapToGrid/>
          <w:color w:val="auto"/>
          <w:kern w:val="2"/>
          <w:sz w:val="32"/>
          <w:szCs w:val="32"/>
          <w:lang w:bidi="ar-SA"/>
        </w:rPr>
        <w:t>.</w:t>
      </w:r>
      <w:r>
        <w:rPr>
          <w:rFonts w:hint="eastAsia" w:ascii="仿宋_GB2312" w:hAnsi="仿宋_GB2312" w:eastAsia="仿宋_GB2312" w:cs="仿宋_GB2312"/>
          <w:b w:val="0"/>
          <w:bCs/>
          <w:snapToGrid/>
          <w:color w:val="auto"/>
          <w:kern w:val="2"/>
          <w:sz w:val="32"/>
          <w:szCs w:val="32"/>
          <w:lang w:val="en-US" w:eastAsia="zh-CN" w:bidi="ar-SA"/>
        </w:rPr>
        <w:t>决赛拟定于7月上旬举行，</w:t>
      </w:r>
      <w:r>
        <w:rPr>
          <w:rFonts w:hint="eastAsia" w:ascii="仿宋_GB2312" w:hAnsi="仿宋_GB2312" w:eastAsia="仿宋_GB2312" w:cs="仿宋_GB2312"/>
          <w:b w:val="0"/>
          <w:bCs w:val="0"/>
          <w:sz w:val="32"/>
          <w:szCs w:val="32"/>
          <w:lang w:val="en-US" w:eastAsia="zh-CN"/>
        </w:rPr>
        <w:t>由福建技术师范学院承办。</w:t>
      </w:r>
      <w:r>
        <w:rPr>
          <w:rFonts w:hint="eastAsia" w:ascii="仿宋_GB2312" w:hAnsi="仿宋_GB2312" w:eastAsia="仿宋_GB2312" w:cs="仿宋_GB2312"/>
          <w:b w:val="0"/>
          <w:bCs/>
          <w:snapToGrid/>
          <w:color w:val="auto"/>
          <w:kern w:val="2"/>
          <w:sz w:val="32"/>
          <w:szCs w:val="32"/>
          <w:lang w:val="en-US" w:eastAsia="zh-CN" w:bidi="ar-SA"/>
        </w:rPr>
        <w:t>具体事宜由大赛办另行通知，请各代表队确定一名大赛联络员，及时加入教学能力比赛联络群</w:t>
      </w:r>
      <w:r>
        <w:rPr>
          <w:rFonts w:hint="eastAsia" w:ascii="仿宋_GB2312" w:hAnsi="仿宋_GB2312" w:eastAsia="仿宋_GB2312" w:cs="仿宋_GB2312"/>
          <w:b w:val="0"/>
          <w:bCs/>
          <w:snapToGrid/>
          <w:color w:val="auto"/>
          <w:kern w:val="2"/>
          <w:sz w:val="32"/>
          <w:szCs w:val="32"/>
          <w:highlight w:val="none"/>
          <w:lang w:val="en-US" w:eastAsia="zh-CN" w:bidi="ar-SA"/>
        </w:rPr>
        <w:t>（QQ群号码：854911421）</w:t>
      </w:r>
      <w:r>
        <w:rPr>
          <w:rFonts w:hint="eastAsia" w:ascii="仿宋_GB2312" w:hAnsi="仿宋_GB2312" w:eastAsia="仿宋_GB2312" w:cs="仿宋_GB2312"/>
          <w:b w:val="0"/>
          <w:bCs/>
          <w:snapToGrid/>
          <w:color w:val="auto"/>
          <w:kern w:val="2"/>
          <w:sz w:val="32"/>
          <w:szCs w:val="32"/>
          <w:lang w:val="en-US" w:eastAsia="zh-CN" w:bidi="ar-SA"/>
        </w:rPr>
        <w:t>。</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4.为更好服务我省职业院校技能大赛思想政治教育课程教学能力比赛和中等职业学校班主任能力比赛工作，提高办赛水平，决定面向学校和有关单位征集专家加入“福建省职业院校技能大赛思想政治教育课程教学能力比赛和中等职业学校班主任能力比赛专家库”（具体事宜见附件7）。各设区市教育局、平潭综合实验区社会事业局负责汇总所属中职学校推荐名单，有关本科院校、高职院校、省属中职学校、省属单位直接推荐，请于4月10日前将相关材料报送到大赛办指定邮箱。</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附件：1.参赛资格公示模板</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2</w:t>
      </w:r>
      <w:r>
        <w:rPr>
          <w:rFonts w:hint="eastAsia" w:ascii="仿宋_GB2312" w:hAnsi="仿宋_GB2312" w:eastAsia="仿宋_GB2312" w:cs="仿宋_GB2312"/>
          <w:b w:val="0"/>
          <w:bCs/>
          <w:snapToGrid/>
          <w:color w:val="auto"/>
          <w:kern w:val="2"/>
          <w:sz w:val="32"/>
          <w:szCs w:val="32"/>
          <w:lang w:bidi="ar-SA"/>
        </w:rPr>
        <w:t>.参赛材料及现场决赛有关要求</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3</w:t>
      </w:r>
      <w:r>
        <w:rPr>
          <w:rFonts w:hint="eastAsia" w:ascii="仿宋_GB2312" w:hAnsi="仿宋_GB2312" w:eastAsia="仿宋_GB2312" w:cs="仿宋_GB2312"/>
          <w:b w:val="0"/>
          <w:bCs/>
          <w:snapToGrid/>
          <w:color w:val="auto"/>
          <w:kern w:val="2"/>
          <w:sz w:val="32"/>
          <w:szCs w:val="32"/>
          <w:lang w:bidi="ar-SA"/>
        </w:rPr>
        <w:t>.参赛报名表</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4</w:t>
      </w:r>
      <w:r>
        <w:rPr>
          <w:rFonts w:hint="eastAsia" w:ascii="仿宋_GB2312" w:hAnsi="仿宋_GB2312" w:eastAsia="仿宋_GB2312" w:cs="仿宋_GB2312"/>
          <w:b w:val="0"/>
          <w:bCs/>
          <w:snapToGrid/>
          <w:color w:val="auto"/>
          <w:kern w:val="2"/>
          <w:sz w:val="32"/>
          <w:szCs w:val="32"/>
          <w:lang w:bidi="ar-SA"/>
        </w:rPr>
        <w:t>.参赛汇总表</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5</w:t>
      </w:r>
      <w:r>
        <w:rPr>
          <w:rFonts w:hint="eastAsia" w:ascii="仿宋_GB2312" w:hAnsi="仿宋_GB2312" w:eastAsia="仿宋_GB2312" w:cs="仿宋_GB2312"/>
          <w:b w:val="0"/>
          <w:bCs/>
          <w:snapToGrid/>
          <w:color w:val="auto"/>
          <w:kern w:val="2"/>
          <w:sz w:val="32"/>
          <w:szCs w:val="32"/>
          <w:lang w:bidi="ar-SA"/>
        </w:rPr>
        <w:t>.比赛情况统计表</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val="en-US" w:eastAsia="zh-CN" w:bidi="ar-SA"/>
        </w:rPr>
        <w:t>6</w:t>
      </w:r>
      <w:r>
        <w:rPr>
          <w:rFonts w:hint="eastAsia" w:ascii="仿宋_GB2312" w:hAnsi="仿宋_GB2312" w:eastAsia="仿宋_GB2312" w:cs="仿宋_GB2312"/>
          <w:b w:val="0"/>
          <w:bCs/>
          <w:snapToGrid/>
          <w:color w:val="auto"/>
          <w:kern w:val="2"/>
          <w:sz w:val="32"/>
          <w:szCs w:val="32"/>
          <w:lang w:bidi="ar-SA"/>
        </w:rPr>
        <w:t>.评分指标（含初赛和决赛）</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firstLine="1600" w:firstLineChars="500"/>
        <w:jc w:val="both"/>
        <w:textAlignment w:val="auto"/>
        <w:rPr>
          <w:rFonts w:hint="default"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7.专家库人选推荐要求</w:t>
      </w:r>
    </w:p>
    <w:p>
      <w:pPr>
        <w:pStyle w:val="9"/>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560" w:lineRule="exact"/>
        <w:ind w:right="0"/>
        <w:jc w:val="right"/>
        <w:textAlignment w:val="auto"/>
        <w:rPr>
          <w:rFonts w:hint="default" w:ascii="仿宋_GB2312" w:hAnsi="仿宋_GB2312" w:eastAsia="仿宋_GB2312" w:cs="仿宋_GB2312"/>
          <w:b w:val="0"/>
          <w:bCs/>
          <w:sz w:val="32"/>
          <w:szCs w:val="32"/>
          <w:lang w:val="en-US" w:eastAsia="zh-CN"/>
        </w:rPr>
        <w:sectPr>
          <w:footerReference r:id="rId4" w:type="default"/>
          <w:pgSz w:w="11906" w:h="16839"/>
          <w:pgMar w:top="1417" w:right="1304" w:bottom="1304" w:left="1701" w:header="0" w:footer="1134" w:gutter="0"/>
          <w:pgNumType w:fmt="numberInDash" w:start="1"/>
          <w:cols w:space="720" w:num="1"/>
        </w:sectPr>
      </w:pPr>
    </w:p>
    <w:p>
      <w:pPr>
        <w:pStyle w:val="20"/>
        <w:keepNext w:val="0"/>
        <w:keepLines w:val="0"/>
        <w:pageBreakBefore w:val="0"/>
        <w:kinsoku/>
        <w:overflowPunct/>
        <w:topLinePunct w:val="0"/>
        <w:bidi w:val="0"/>
        <w:spacing w:line="560" w:lineRule="exact"/>
        <w:jc w:val="both"/>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附件1</w:t>
      </w:r>
    </w:p>
    <w:p>
      <w:pPr>
        <w:pStyle w:val="20"/>
        <w:keepNext w:val="0"/>
        <w:keepLines w:val="0"/>
        <w:pageBreakBefore w:val="0"/>
        <w:kinsoku/>
        <w:overflowPunct/>
        <w:topLinePunct w:val="0"/>
        <w:bidi w:val="0"/>
        <w:spacing w:line="560" w:lineRule="exact"/>
        <w:jc w:val="both"/>
        <w:rPr>
          <w:rFonts w:hint="eastAsia" w:ascii="黑体" w:hAnsi="黑体" w:eastAsia="黑体" w:cs="黑体"/>
          <w:b w:val="0"/>
          <w:bCs/>
          <w:color w:val="auto"/>
          <w:spacing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eastAsia="zh-CN"/>
        </w:rPr>
      </w:pPr>
      <w:r>
        <w:rPr>
          <w:rFonts w:hint="eastAsia" w:ascii="方正小标宋简体" w:hAnsi="方正小标宋简体" w:eastAsia="方正小标宋简体" w:cs="方正小标宋简体"/>
          <w:b w:val="0"/>
          <w:bCs/>
          <w:snapToGrid/>
          <w:color w:val="auto"/>
          <w:kern w:val="2"/>
          <w:sz w:val="44"/>
          <w:szCs w:val="44"/>
          <w:highlight w:val="none"/>
          <w:lang w:eastAsia="zh-CN"/>
        </w:rPr>
        <w:t>202</w:t>
      </w:r>
      <w:r>
        <w:rPr>
          <w:rFonts w:hint="eastAsia" w:ascii="方正小标宋简体" w:hAnsi="方正小标宋简体" w:eastAsia="方正小标宋简体" w:cs="方正小标宋简体"/>
          <w:b w:val="0"/>
          <w:bCs/>
          <w:snapToGrid/>
          <w:color w:val="auto"/>
          <w:kern w:val="2"/>
          <w:sz w:val="44"/>
          <w:szCs w:val="44"/>
          <w:highlight w:val="none"/>
          <w:lang w:val="en-US" w:eastAsia="zh-CN"/>
        </w:rPr>
        <w:t>4</w:t>
      </w:r>
      <w:r>
        <w:rPr>
          <w:rFonts w:hint="eastAsia" w:ascii="方正小标宋简体" w:hAnsi="方正小标宋简体" w:eastAsia="方正小标宋简体" w:cs="方正小标宋简体"/>
          <w:b w:val="0"/>
          <w:bCs/>
          <w:snapToGrid/>
          <w:color w:val="auto"/>
          <w:kern w:val="2"/>
          <w:sz w:val="44"/>
          <w:szCs w:val="44"/>
          <w:highlight w:val="none"/>
          <w:lang w:eastAsia="zh-CN"/>
        </w:rPr>
        <w:t>年</w:t>
      </w:r>
      <w:r>
        <w:rPr>
          <w:rFonts w:hint="eastAsia" w:ascii="方正小标宋简体" w:hAnsi="方正小标宋简体" w:eastAsia="方正小标宋简体" w:cs="方正小标宋简体"/>
          <w:b w:val="0"/>
          <w:bCs/>
          <w:snapToGrid/>
          <w:color w:val="auto"/>
          <w:kern w:val="2"/>
          <w:sz w:val="44"/>
          <w:szCs w:val="44"/>
          <w:highlight w:val="none"/>
          <w:lang w:val="en-US" w:eastAsia="zh-CN"/>
        </w:rPr>
        <w:t>福建省</w:t>
      </w:r>
      <w:r>
        <w:rPr>
          <w:rFonts w:hint="eastAsia" w:ascii="方正小标宋简体" w:hAnsi="方正小标宋简体" w:eastAsia="方正小标宋简体" w:cs="方正小标宋简体"/>
          <w:b w:val="0"/>
          <w:bCs/>
          <w:snapToGrid/>
          <w:color w:val="auto"/>
          <w:kern w:val="2"/>
          <w:sz w:val="44"/>
          <w:szCs w:val="44"/>
          <w:highlight w:val="none"/>
          <w:lang w:eastAsia="zh-CN"/>
        </w:rPr>
        <w:t>职业院校技能大赛教学能力</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eastAsia="zh-CN"/>
        </w:rPr>
      </w:pPr>
      <w:r>
        <w:rPr>
          <w:rFonts w:hint="eastAsia" w:ascii="方正小标宋简体" w:hAnsi="方正小标宋简体" w:eastAsia="方正小标宋简体" w:cs="方正小标宋简体"/>
          <w:b w:val="0"/>
          <w:bCs/>
          <w:snapToGrid/>
          <w:color w:val="auto"/>
          <w:kern w:val="2"/>
          <w:sz w:val="44"/>
          <w:szCs w:val="44"/>
          <w:highlight w:val="none"/>
          <w:lang w:eastAsia="zh-CN"/>
        </w:rPr>
        <w:t>比赛***（地区</w:t>
      </w:r>
      <w:r>
        <w:rPr>
          <w:rFonts w:hint="eastAsia" w:ascii="方正小标宋简体" w:hAnsi="方正小标宋简体" w:eastAsia="方正小标宋简体" w:cs="方正小标宋简体"/>
          <w:b w:val="0"/>
          <w:bCs/>
          <w:snapToGrid/>
          <w:color w:val="auto"/>
          <w:kern w:val="2"/>
          <w:sz w:val="44"/>
          <w:szCs w:val="44"/>
          <w:highlight w:val="none"/>
          <w:lang w:val="en-US" w:eastAsia="zh-CN"/>
        </w:rPr>
        <w:t>/学校</w:t>
      </w:r>
      <w:r>
        <w:rPr>
          <w:rFonts w:hint="eastAsia" w:ascii="方正小标宋简体" w:hAnsi="方正小标宋简体" w:eastAsia="方正小标宋简体" w:cs="方正小标宋简体"/>
          <w:b w:val="0"/>
          <w:bCs/>
          <w:snapToGrid/>
          <w:color w:val="auto"/>
          <w:kern w:val="2"/>
          <w:sz w:val="44"/>
          <w:szCs w:val="44"/>
          <w:highlight w:val="none"/>
          <w:lang w:eastAsia="zh-CN"/>
        </w:rPr>
        <w:t>）参赛资格公示</w:t>
      </w:r>
    </w:p>
    <w:p>
      <w:pPr>
        <w:pStyle w:val="2"/>
        <w:keepNext w:val="0"/>
        <w:keepLines w:val="0"/>
        <w:pageBreakBefore w:val="0"/>
        <w:kinsoku/>
        <w:overflowPunct/>
        <w:topLinePunct w:val="0"/>
        <w:bidi w:val="0"/>
        <w:spacing w:line="560" w:lineRule="exact"/>
        <w:rPr>
          <w:rFonts w:hint="eastAsia"/>
          <w:b w:val="0"/>
          <w:bCs/>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依据《福建省教育厅关于举办2024年福建省职业院校技能大赛教学能力比赛的通知》关于参赛资格的相关要求，</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设区市教育局</w:t>
      </w:r>
      <w:r>
        <w:rPr>
          <w:rFonts w:hint="eastAsia" w:ascii="仿宋_GB2312" w:hAnsi="仿宋_GB2312" w:eastAsia="仿宋_GB2312" w:cs="仿宋_GB2312"/>
          <w:b w:val="0"/>
          <w:bCs/>
          <w:snapToGrid/>
          <w:color w:val="auto"/>
          <w:kern w:val="2"/>
          <w:sz w:val="32"/>
          <w:szCs w:val="32"/>
          <w:highlight w:val="none"/>
          <w:lang w:val="en-US" w:eastAsia="zh-CN" w:bidi="ar-SA"/>
        </w:rPr>
        <w:t>对本地</w:t>
      </w:r>
      <w:r>
        <w:rPr>
          <w:rFonts w:hint="eastAsia" w:ascii="仿宋_GB2312" w:hAnsi="仿宋_GB2312" w:eastAsia="仿宋_GB2312" w:cs="仿宋_GB2312"/>
          <w:b w:val="0"/>
          <w:bCs/>
          <w:color w:val="auto"/>
          <w:sz w:val="32"/>
          <w:szCs w:val="32"/>
          <w:highlight w:val="none"/>
        </w:rPr>
        <w:t>**支参赛团队的参赛资格进行了审查</w:t>
      </w:r>
      <w:r>
        <w:rPr>
          <w:rFonts w:hint="eastAsia" w:ascii="仿宋_GB2312" w:hAnsi="仿宋_GB2312" w:eastAsia="仿宋_GB2312" w:cs="仿宋_GB2312"/>
          <w:b w:val="0"/>
          <w:bCs/>
          <w:color w:val="auto"/>
          <w:sz w:val="32"/>
          <w:szCs w:val="32"/>
          <w:highlight w:val="none"/>
          <w:lang w:val="en-US" w:eastAsia="zh-CN"/>
        </w:rPr>
        <w:t>或</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snapToGrid/>
          <w:color w:val="auto"/>
          <w:kern w:val="2"/>
          <w:sz w:val="32"/>
          <w:szCs w:val="32"/>
          <w:highlight w:val="none"/>
          <w:lang w:val="en-US" w:eastAsia="zh-CN" w:bidi="ar-SA"/>
        </w:rPr>
        <w:t>高职院校、省属中职学校和有关本科院校）</w:t>
      </w:r>
      <w:r>
        <w:rPr>
          <w:rFonts w:hint="eastAsia" w:ascii="仿宋_GB2312" w:hAnsi="仿宋_GB2312" w:eastAsia="仿宋_GB2312" w:cs="仿宋_GB2312"/>
          <w:b w:val="0"/>
          <w:bCs/>
          <w:color w:val="auto"/>
          <w:sz w:val="32"/>
          <w:szCs w:val="32"/>
          <w:highlight w:val="none"/>
        </w:rPr>
        <w:t>对</w:t>
      </w:r>
      <w:r>
        <w:rPr>
          <w:rFonts w:hint="eastAsia" w:ascii="仿宋_GB2312" w:hAnsi="仿宋_GB2312" w:eastAsia="仿宋_GB2312" w:cs="仿宋_GB2312"/>
          <w:b w:val="0"/>
          <w:bCs/>
          <w:color w:val="auto"/>
          <w:sz w:val="32"/>
          <w:szCs w:val="32"/>
          <w:highlight w:val="none"/>
          <w:lang w:val="en-US" w:eastAsia="zh-CN"/>
        </w:rPr>
        <w:t>本校</w:t>
      </w:r>
      <w:r>
        <w:rPr>
          <w:rFonts w:hint="eastAsia" w:ascii="仿宋_GB2312" w:hAnsi="仿宋_GB2312" w:eastAsia="仿宋_GB2312" w:cs="仿宋_GB2312"/>
          <w:b w:val="0"/>
          <w:bCs/>
          <w:color w:val="auto"/>
          <w:sz w:val="32"/>
          <w:szCs w:val="32"/>
          <w:highlight w:val="none"/>
        </w:rPr>
        <w:t>***支参赛团队的</w:t>
      </w:r>
      <w:r>
        <w:rPr>
          <w:rFonts w:hint="eastAsia" w:ascii="仿宋_GB2312" w:hAnsi="仿宋_GB2312" w:eastAsia="仿宋_GB2312" w:cs="仿宋_GB2312"/>
          <w:b w:val="0"/>
          <w:bCs/>
          <w:snapToGrid/>
          <w:color w:val="auto"/>
          <w:kern w:val="2"/>
          <w:sz w:val="32"/>
          <w:szCs w:val="32"/>
          <w:lang w:eastAsia="zh-CN"/>
        </w:rPr>
        <w:t>参赛资格进行了审查，现公示如下：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napToGrid/>
          <w:color w:val="auto"/>
          <w:kern w:val="2"/>
          <w:sz w:val="32"/>
          <w:szCs w:val="32"/>
          <w:lang w:eastAsia="zh-CN"/>
        </w:rPr>
      </w:pPr>
      <w:r>
        <w:rPr>
          <w:rFonts w:hint="eastAsia" w:ascii="黑体" w:hAnsi="黑体" w:eastAsia="黑体" w:cs="黑体"/>
          <w:b w:val="0"/>
          <w:bCs/>
          <w:snapToGrid/>
          <w:color w:val="auto"/>
          <w:kern w:val="2"/>
          <w:sz w:val="32"/>
          <w:szCs w:val="32"/>
          <w:lang w:eastAsia="zh-CN"/>
        </w:rPr>
        <w:t>一、中职组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1.公共基础课程组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（1）***学校***课程参赛团队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该校实际开设了***专业并按规定备案。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该校***专业实际存在***班，报名前该班学生**人。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该校***班实际开设了***课程，该课程相关内容在近2年</w:t>
      </w:r>
      <w:r>
        <w:rPr>
          <w:rFonts w:hint="eastAsia" w:ascii="仿宋_GB2312" w:hAnsi="仿宋_GB2312" w:eastAsia="仿宋_GB2312" w:cs="仿宋_GB2312"/>
          <w:b w:val="0"/>
          <w:bCs/>
          <w:color w:val="auto"/>
          <w:sz w:val="32"/>
          <w:szCs w:val="32"/>
        </w:rPr>
        <w:t>未获全国职业院校技能大赛教学能力比赛一等奖</w:t>
      </w:r>
      <w:r>
        <w:rPr>
          <w:rFonts w:hint="eastAsia" w:ascii="仿宋_GB2312" w:hAnsi="仿宋_GB2312" w:eastAsia="仿宋_GB2312" w:cs="仿宋_GB2312"/>
          <w:b w:val="0"/>
          <w:bCs/>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该校任课教师***、***、***、***近3年内实际承担了***课程或相关课程的教学任务，</w:t>
      </w:r>
      <w:r>
        <w:rPr>
          <w:rFonts w:hint="eastAsia" w:ascii="仿宋_GB2312" w:hAnsi="仿宋_GB2312" w:eastAsia="仿宋_GB2312" w:cs="仿宋_GB2312"/>
          <w:b w:val="0"/>
          <w:bCs/>
          <w:snapToGrid/>
          <w:color w:val="auto"/>
          <w:kern w:val="2"/>
          <w:sz w:val="32"/>
          <w:szCs w:val="32"/>
          <w:lang w:val="en-US" w:eastAsia="zh-CN"/>
        </w:rPr>
        <w:t>有*位教师（若有，需备注教师姓名）参加过近 2 年</w:t>
      </w:r>
      <w:r>
        <w:rPr>
          <w:rFonts w:hint="eastAsia" w:ascii="仿宋_GB2312" w:hAnsi="仿宋_GB2312" w:eastAsia="仿宋_GB2312" w:cs="仿宋_GB2312"/>
          <w:b w:val="0"/>
          <w:bCs/>
          <w:color w:val="auto"/>
          <w:sz w:val="32"/>
          <w:szCs w:val="32"/>
        </w:rPr>
        <w:t>全国职业院校技能大赛教学能力比赛</w:t>
      </w:r>
      <w:r>
        <w:rPr>
          <w:rFonts w:hint="eastAsia" w:ascii="仿宋_GB2312" w:hAnsi="仿宋_GB2312" w:eastAsia="仿宋_GB2312" w:cs="仿宋_GB2312"/>
          <w:b w:val="0"/>
          <w:bCs/>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参赛教师***系***学校在职教师、教龄***年、职称***。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参赛教师***（参照上一段体例，列举全部成员）。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rPr>
      </w:pPr>
      <w:r>
        <w:rPr>
          <w:rFonts w:hint="eastAsia" w:ascii="仿宋_GB2312" w:hAnsi="仿宋_GB2312" w:eastAsia="仿宋_GB2312" w:cs="仿宋_GB2312"/>
          <w:b w:val="0"/>
          <w:bCs/>
          <w:snapToGrid/>
          <w:color w:val="auto"/>
          <w:kern w:val="2"/>
          <w:sz w:val="32"/>
          <w:szCs w:val="32"/>
          <w:lang w:eastAsia="zh-CN"/>
        </w:rPr>
        <w:t>（2）</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snapToGrid/>
          <w:color w:val="auto"/>
          <w:kern w:val="2"/>
          <w:sz w:val="32"/>
          <w:szCs w:val="32"/>
          <w:lang w:eastAsia="zh-CN"/>
        </w:rPr>
        <w:t>（其他参赛团队）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val="en-US" w:eastAsia="zh-CN"/>
        </w:rPr>
        <w:t>2</w:t>
      </w:r>
      <w:r>
        <w:rPr>
          <w:rFonts w:hint="eastAsia" w:ascii="楷体_GB2312" w:hAnsi="楷体_GB2312" w:eastAsia="楷体_GB2312" w:cs="楷体_GB2312"/>
          <w:b w:val="0"/>
          <w:bCs/>
          <w:snapToGrid/>
          <w:color w:val="auto"/>
          <w:kern w:val="2"/>
          <w:sz w:val="32"/>
          <w:szCs w:val="32"/>
          <w:lang w:eastAsia="zh-CN"/>
        </w:rPr>
        <w:t>.专业课程一组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（1）***学校***专业类***专业***课程参赛团队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该校实际开设了***专业并按规定备案。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该校***专业实际存在***班，报名前该班学生**人。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该校***班实际开设了***课程，</w:t>
      </w:r>
      <w:r>
        <w:rPr>
          <w:rFonts w:hint="eastAsia" w:ascii="仿宋_GB2312" w:hAnsi="仿宋_GB2312" w:eastAsia="仿宋_GB2312" w:cs="仿宋_GB2312"/>
          <w:b w:val="0"/>
          <w:bCs/>
          <w:color w:val="auto"/>
          <w:sz w:val="32"/>
          <w:szCs w:val="32"/>
        </w:rPr>
        <w:t>该课程相关内容在近 2 年未获全国职业院校技能大赛教学能力比赛一等奖</w:t>
      </w:r>
      <w:r>
        <w:rPr>
          <w:rFonts w:hint="eastAsia" w:ascii="仿宋_GB2312" w:hAnsi="仿宋_GB2312" w:eastAsia="仿宋_GB2312" w:cs="仿宋_GB2312"/>
          <w:b w:val="0"/>
          <w:bCs/>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eastAsia="zh-CN"/>
        </w:rPr>
      </w:pPr>
      <w:r>
        <w:rPr>
          <w:rFonts w:hint="eastAsia" w:ascii="仿宋_GB2312" w:hAnsi="仿宋_GB2312" w:eastAsia="仿宋_GB2312" w:cs="仿宋_GB2312"/>
          <w:b w:val="0"/>
          <w:bCs/>
          <w:snapToGrid/>
          <w:color w:val="auto"/>
          <w:kern w:val="2"/>
          <w:sz w:val="32"/>
          <w:szCs w:val="32"/>
          <w:lang w:eastAsia="zh-CN"/>
        </w:rPr>
        <w:t>该校任课教师***、***、***、***（含企业兼职教师）近3年内实际承担了***课程或相关课程的教学任务，</w:t>
      </w:r>
      <w:r>
        <w:rPr>
          <w:rFonts w:hint="eastAsia" w:ascii="仿宋_GB2312" w:hAnsi="仿宋_GB2312" w:eastAsia="仿宋_GB2312" w:cs="仿宋_GB2312"/>
          <w:b w:val="0"/>
          <w:bCs/>
          <w:snapToGrid/>
          <w:color w:val="auto"/>
          <w:kern w:val="2"/>
          <w:sz w:val="32"/>
          <w:szCs w:val="32"/>
          <w:lang w:val="en-US" w:eastAsia="zh-CN"/>
        </w:rPr>
        <w:t>有*位教师（若有，需备注教师姓名）参加过近 2 年</w:t>
      </w:r>
      <w:r>
        <w:rPr>
          <w:rFonts w:hint="eastAsia" w:ascii="仿宋_GB2312" w:hAnsi="仿宋_GB2312" w:eastAsia="仿宋_GB2312" w:cs="仿宋_GB2312"/>
          <w:b w:val="0"/>
          <w:bCs/>
          <w:color w:val="auto"/>
          <w:sz w:val="32"/>
          <w:szCs w:val="32"/>
        </w:rPr>
        <w:t>全国职业院校技能大赛教学能力比赛</w:t>
      </w:r>
      <w:r>
        <w:rPr>
          <w:rFonts w:hint="eastAsia" w:ascii="仿宋_GB2312" w:hAnsi="仿宋_GB2312" w:eastAsia="仿宋_GB2312" w:cs="仿宋_GB2312"/>
          <w:b w:val="0"/>
          <w:bCs/>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参赛教师***系***学校在职教师、教龄***年、***职称和/或***职业资格（是否“双师型”教师）。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参赛教师***（参照上一段体例列举全部在职教师）。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参赛教师***系***学校企业兼职教师，***职称和/或***职业资格。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（2）</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snapToGrid/>
          <w:color w:val="auto"/>
          <w:kern w:val="2"/>
          <w:sz w:val="32"/>
          <w:szCs w:val="32"/>
          <w:lang w:eastAsia="zh-CN"/>
        </w:rPr>
        <w:t>（其他参赛团队）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val="en-US" w:eastAsia="zh-CN"/>
        </w:rPr>
        <w:t>3</w:t>
      </w:r>
      <w:r>
        <w:rPr>
          <w:rFonts w:hint="eastAsia" w:ascii="楷体_GB2312" w:hAnsi="楷体_GB2312" w:eastAsia="楷体_GB2312" w:cs="楷体_GB2312"/>
          <w:b w:val="0"/>
          <w:bCs/>
          <w:snapToGrid/>
          <w:color w:val="auto"/>
          <w:kern w:val="2"/>
          <w:sz w:val="32"/>
          <w:szCs w:val="32"/>
          <w:lang w:eastAsia="zh-CN"/>
        </w:rPr>
        <w:t>.专业课程二组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参照专业课程一组列写公示信息。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napToGrid/>
          <w:color w:val="auto"/>
          <w:kern w:val="2"/>
          <w:sz w:val="32"/>
          <w:szCs w:val="32"/>
          <w:lang w:eastAsia="zh-CN"/>
        </w:rPr>
      </w:pPr>
      <w:r>
        <w:rPr>
          <w:rFonts w:hint="eastAsia" w:ascii="黑体" w:hAnsi="黑体" w:eastAsia="黑体" w:cs="黑体"/>
          <w:b w:val="0"/>
          <w:bCs/>
          <w:snapToGrid/>
          <w:color w:val="auto"/>
          <w:kern w:val="2"/>
          <w:sz w:val="32"/>
          <w:szCs w:val="32"/>
          <w:lang w:eastAsia="zh-CN"/>
        </w:rPr>
        <w:t>二、高职组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参考中职组列写公示信息。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fldChar w:fldCharType="begin"/>
      </w:r>
      <w:r>
        <w:rPr>
          <w:rFonts w:hint="eastAsia" w:ascii="仿宋_GB2312" w:hAnsi="仿宋_GB2312" w:eastAsia="仿宋_GB2312" w:cs="仿宋_GB2312"/>
          <w:b w:val="0"/>
          <w:bCs/>
          <w:snapToGrid/>
          <w:color w:val="auto"/>
          <w:kern w:val="2"/>
          <w:sz w:val="32"/>
          <w:szCs w:val="32"/>
          <w:lang w:eastAsia="zh-CN"/>
        </w:rPr>
        <w:instrText xml:space="preserve"> HYPERLINK "mailto:公示期为5个工作日，即自****年**月**日至****年**月**日，对以上信息的真实性和参赛资格有质疑的，请在公示期间将反馈意见发送到***@**.**邮箱，并电话联系****（电话号码）进行确认。" </w:instrText>
      </w:r>
      <w:r>
        <w:rPr>
          <w:rFonts w:hint="eastAsia" w:ascii="仿宋_GB2312" w:hAnsi="仿宋_GB2312" w:eastAsia="仿宋_GB2312" w:cs="仿宋_GB2312"/>
          <w:b w:val="0"/>
          <w:bCs/>
          <w:snapToGrid/>
          <w:color w:val="auto"/>
          <w:kern w:val="2"/>
          <w:sz w:val="32"/>
          <w:szCs w:val="32"/>
          <w:lang w:eastAsia="zh-CN"/>
        </w:rPr>
        <w:fldChar w:fldCharType="separate"/>
      </w:r>
      <w:r>
        <w:rPr>
          <w:rFonts w:hint="eastAsia" w:ascii="仿宋_GB2312" w:hAnsi="仿宋_GB2312" w:eastAsia="仿宋_GB2312" w:cs="仿宋_GB2312"/>
          <w:b w:val="0"/>
          <w:bCs/>
          <w:snapToGrid/>
          <w:color w:val="auto"/>
          <w:kern w:val="2"/>
          <w:sz w:val="32"/>
          <w:szCs w:val="32"/>
          <w:lang w:eastAsia="zh-CN"/>
        </w:rPr>
        <w:t>公示期为5个工作日，即自****年**月**日至****年**月**日，对以上信息的真实性和参赛资格有质疑的，请在公示期间将反馈意见发送到***@**.**邮箱，并电话联系****（电话号码）进行确认。</w:t>
      </w:r>
      <w:r>
        <w:rPr>
          <w:rFonts w:hint="eastAsia" w:ascii="仿宋_GB2312" w:hAnsi="仿宋_GB2312" w:eastAsia="仿宋_GB2312" w:cs="仿宋_GB2312"/>
          <w:b w:val="0"/>
          <w:bCs/>
          <w:snapToGrid/>
          <w:color w:val="auto"/>
          <w:kern w:val="2"/>
          <w:sz w:val="32"/>
          <w:szCs w:val="32"/>
          <w:lang w:eastAsia="zh-CN"/>
        </w:rPr>
        <w:fldChar w:fldCharType="end"/>
      </w:r>
    </w:p>
    <w:p>
      <w:pPr>
        <w:pStyle w:val="2"/>
        <w:keepNext w:val="0"/>
        <w:keepLines w:val="0"/>
        <w:pageBreakBefore w:val="0"/>
        <w:kinsoku/>
        <w:overflowPunct/>
        <w:topLinePunct w:val="0"/>
        <w:bidi w:val="0"/>
        <w:spacing w:line="560" w:lineRule="exact"/>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b w:val="0"/>
          <w:bCs/>
          <w:snapToGrid/>
          <w:color w:val="auto"/>
          <w:kern w:val="2"/>
          <w:sz w:val="32"/>
          <w:szCs w:val="32"/>
          <w:lang w:val="en-US" w:eastAsia="zh-CN"/>
        </w:rPr>
      </w:pPr>
      <w:r>
        <w:rPr>
          <w:rFonts w:hint="eastAsia" w:ascii="仿宋_GB2312" w:hAnsi="仿宋_GB2312" w:eastAsia="仿宋_GB2312" w:cs="仿宋_GB2312"/>
          <w:b w:val="0"/>
          <w:bCs/>
          <w:color w:val="auto"/>
          <w:sz w:val="32"/>
          <w:szCs w:val="32"/>
          <w:highlight w:val="none"/>
          <w:lang w:val="en-US" w:eastAsia="zh-CN"/>
        </w:rPr>
        <w:t>各有关单位</w:t>
      </w:r>
      <w:r>
        <w:rPr>
          <w:rFonts w:hint="eastAsia" w:ascii="仿宋_GB2312" w:hAnsi="仿宋_GB2312" w:eastAsia="仿宋_GB2312" w:cs="仿宋_GB2312"/>
          <w:b w:val="0"/>
          <w:bCs/>
          <w:snapToGrid/>
          <w:color w:val="auto"/>
          <w:kern w:val="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eastAsia="宋体"/>
          <w:b w:val="0"/>
          <w:bCs/>
          <w:lang w:val="en-US" w:eastAsia="zh-CN"/>
        </w:rPr>
        <w:sectPr>
          <w:footerReference r:id="rId5" w:type="default"/>
          <w:pgSz w:w="11906" w:h="16839"/>
          <w:pgMar w:top="1417" w:right="1304" w:bottom="1304" w:left="1701" w:header="0" w:footer="1134" w:gutter="0"/>
          <w:pgNumType w:fmt="numberInDash"/>
          <w:cols w:space="720" w:num="1"/>
        </w:sectPr>
      </w:pPr>
      <w:r>
        <w:rPr>
          <w:rFonts w:hint="eastAsia" w:ascii="仿宋_GB2312" w:hAnsi="仿宋_GB2312" w:eastAsia="仿宋_GB2312" w:cs="仿宋_GB2312"/>
          <w:b w:val="0"/>
          <w:bCs/>
          <w:snapToGrid/>
          <w:color w:val="auto"/>
          <w:kern w:val="2"/>
          <w:sz w:val="32"/>
          <w:szCs w:val="32"/>
          <w:lang w:eastAsia="zh-CN"/>
        </w:rPr>
        <w:t>****年**月**日</w:t>
      </w:r>
      <w:r>
        <w:rPr>
          <w:rFonts w:hint="eastAsia" w:ascii="仿宋_GB2312" w:hAnsi="仿宋_GB2312" w:eastAsia="仿宋_GB2312" w:cs="仿宋_GB2312"/>
          <w:b w:val="0"/>
          <w:bCs/>
          <w:snapToGrid/>
          <w:color w:val="auto"/>
          <w:kern w:val="2"/>
          <w:sz w:val="32"/>
          <w:szCs w:val="32"/>
          <w:lang w:val="en-US" w:eastAsia="zh-CN"/>
        </w:rPr>
        <w:t xml:space="preserve">      </w:t>
      </w:r>
    </w:p>
    <w:p>
      <w:pPr>
        <w:pStyle w:val="20"/>
        <w:keepNext w:val="0"/>
        <w:keepLines w:val="0"/>
        <w:pageBreakBefore w:val="0"/>
        <w:kinsoku/>
        <w:overflowPunct/>
        <w:topLinePunct w:val="0"/>
        <w:bidi w:val="0"/>
        <w:spacing w:line="560" w:lineRule="exact"/>
        <w:jc w:val="both"/>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rPr>
        <w:t>附件</w:t>
      </w:r>
      <w:r>
        <w:rPr>
          <w:rFonts w:hint="eastAsia" w:ascii="黑体" w:hAnsi="黑体" w:eastAsia="黑体" w:cs="黑体"/>
          <w:b w:val="0"/>
          <w:bCs/>
          <w:color w:val="auto"/>
          <w:spacing w:val="0"/>
          <w:sz w:val="32"/>
          <w:szCs w:val="32"/>
          <w:lang w:val="en-US" w:eastAsia="zh-CN"/>
        </w:rPr>
        <w:t>2</w:t>
      </w:r>
    </w:p>
    <w:p>
      <w:pPr>
        <w:pStyle w:val="20"/>
        <w:keepNext w:val="0"/>
        <w:keepLines w:val="0"/>
        <w:pageBreakBefore w:val="0"/>
        <w:kinsoku/>
        <w:overflowPunct/>
        <w:topLinePunct w:val="0"/>
        <w:bidi w:val="0"/>
        <w:spacing w:line="560" w:lineRule="exact"/>
        <w:jc w:val="both"/>
        <w:rPr>
          <w:rFonts w:hint="eastAsia" w:ascii="黑体" w:hAnsi="黑体" w:eastAsia="黑体" w:cs="黑体"/>
          <w:b w:val="0"/>
          <w:bCs/>
          <w:color w:val="auto"/>
          <w:spacing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b w:val="0"/>
          <w:bCs/>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比赛参赛材料及现场决赛有关要求</w:t>
      </w:r>
    </w:p>
    <w:p>
      <w:pPr>
        <w:pStyle w:val="2"/>
        <w:keepNext w:val="0"/>
        <w:keepLines w:val="0"/>
        <w:pageBreakBefore w:val="0"/>
        <w:kinsoku/>
        <w:overflowPunct/>
        <w:topLinePunct w:val="0"/>
        <w:bidi w:val="0"/>
        <w:spacing w:line="560" w:lineRule="exact"/>
        <w:rPr>
          <w:rFonts w:hint="eastAsia"/>
          <w:b w:val="0"/>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napToGrid/>
          <w:color w:val="auto"/>
          <w:kern w:val="2"/>
          <w:sz w:val="32"/>
          <w:szCs w:val="32"/>
          <w:lang w:eastAsia="zh-CN"/>
        </w:rPr>
      </w:pPr>
      <w:r>
        <w:rPr>
          <w:rFonts w:hint="eastAsia" w:ascii="黑体" w:hAnsi="黑体" w:eastAsia="黑体" w:cs="黑体"/>
          <w:b w:val="0"/>
          <w:bCs/>
          <w:snapToGrid/>
          <w:color w:val="auto"/>
          <w:kern w:val="2"/>
          <w:sz w:val="32"/>
          <w:szCs w:val="32"/>
          <w:lang w:eastAsia="zh-CN"/>
        </w:rPr>
        <w:t>一、参赛文档材料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所有文档材料均要求规范、简明、完整、朴实，正文使用小四号字、1.5倍行距，禁用以装饰为目的的图片或照片，以PDF格式提交，每个文件大小不超过100M。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（一）教案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教学团队根据提交的专业人才培养方案和课程标准（或部颁课程标准实施方案），选取该课程在一个学期中符合规定的教学内容，撰写实际使用的教案。教案应包括授课信息、内容分析、学情分析、教学目标、教学策略、教学活动安排、课后反思等教学基本要素，要求设计合理、重点突出、前后衔接、规范完整、详略得当（其中课中教学活动安排占主要篇幅），体现具体的教学内容、活动及时间分配，能够有效指导教学实施，课后对授课实效、改革创新、存在不足及改进设想进行客观深入反思。原则上每份教案的教学时长不超过2学时，专周实习实训、岗位实习，以及有场地设备特殊要求的实训教学内容可连续安排3-4学时。专周实习实训、岗位实习的教案应符合真实项目、岗位实践教学实际。每次课的教案按序逐一标明序号，合并为一个文件提交。</w:t>
      </w:r>
    </w:p>
    <w:p>
      <w:pPr>
        <w:keepNext w:val="0"/>
        <w:keepLines w:val="0"/>
        <w:pageBreakBefore w:val="0"/>
        <w:overflowPunct/>
        <w:topLinePunct w:val="0"/>
        <w:bidi w:val="0"/>
        <w:spacing w:line="560" w:lineRule="exact"/>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（二）教学实施报告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教学团队针对本课程教学实践中的问题开展研究和实践，完成教学设计、实施课堂教学，撰写1份教学实施报告。报告应总结参赛内容的教学整体设计、教学实施过程、学生学习效果、反思改进措施等方面情况，突出重点和特色，体现创新举措和具体成效，可用图表加以佐证。中文字符在5000字以内（文末注明正文“中文字符统计数”），插入的图表应有针对性、有效性，文字清晰可见，图表合计不超过12张，单张图表原则上不超过半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（三）专业人才培养方案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rPr>
      </w:pPr>
      <w:r>
        <w:rPr>
          <w:rFonts w:hint="eastAsia" w:ascii="仿宋_GB2312" w:hAnsi="仿宋_GB2312" w:eastAsia="仿宋_GB2312" w:cs="仿宋_GB2312"/>
          <w:b w:val="0"/>
          <w:bCs/>
          <w:snapToGrid/>
          <w:color w:val="auto"/>
          <w:kern w:val="2"/>
          <w:sz w:val="32"/>
          <w:szCs w:val="32"/>
          <w:lang w:eastAsia="zh-CN"/>
        </w:rPr>
        <w:t>教学团队提交学校及时修订和实际使用的专业人才培养方案。专业人才培养方案应按照《教育部关于职业院校专业人才培养方案制订与实施工作的指导意见》（教职成〔2019〕13号）《关于组织做好职业院校专业人才培养方案制订与实施工作的通知》（教职成司函〔2019〕61号）《教育部关于印发〈职业教育专业目录（2021年）〉的通知》（教职成〔2021〕2号）和《职业教育专业简介（202</w:t>
      </w:r>
      <w:r>
        <w:rPr>
          <w:rFonts w:hint="eastAsia" w:ascii="仿宋_GB2312" w:hAnsi="仿宋_GB2312" w:eastAsia="仿宋_GB2312" w:cs="仿宋_GB2312"/>
          <w:b w:val="0"/>
          <w:bCs/>
          <w:snapToGrid/>
          <w:color w:val="auto"/>
          <w:kern w:val="2"/>
          <w:sz w:val="32"/>
          <w:szCs w:val="32"/>
          <w:lang w:val="en-US" w:eastAsia="zh-CN"/>
        </w:rPr>
        <w:t>2</w:t>
      </w:r>
      <w:r>
        <w:rPr>
          <w:rFonts w:hint="eastAsia" w:ascii="仿宋_GB2312" w:hAnsi="仿宋_GB2312" w:eastAsia="仿宋_GB2312" w:cs="仿宋_GB2312"/>
          <w:b w:val="0"/>
          <w:bCs/>
          <w:snapToGrid/>
          <w:color w:val="auto"/>
          <w:kern w:val="2"/>
          <w:sz w:val="32"/>
          <w:szCs w:val="32"/>
          <w:lang w:eastAsia="zh-CN"/>
        </w:rPr>
        <w:t>年修订）》有关要求制定或修订。公共基础课程组只需提交授课班级所在专业的人才培养方案；跨校组建的教学团队，只需提交团队负责人所在学校的专业人才培养方案。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（四）课程标准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教学团队提交参赛班级教学实际使用的课程标准。课程标准应落实职业教育国家教学标准，依据专业人才培养方案的相关要求科学规范制定，明确课程性质与任务、课程目标与要求、课程结构与内容、学生考核与评价、教学实施与保障、授课进程与安排等。公共基础课应执行教育部2020年、2021年印发的相应课程标准，参赛团队须提交执行部颁课程标准的实施方案，对课标中未覆盖的部分（如基础模块的职场情境任务、拓展模块的具体内容、各模块的授课进程安排等）予以重点说明。在提交的课程标准（或实施方案）中，应另附参赛班级授课计划表（注明授课日期、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（五）教材选用说明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学校应落实《职业院校教材管理办法》以及国家和地方关于教材管理的政策规定，健全内部管理制度，选好用好教材。教学团队提交的参赛课程教材选用说明须包括（但不限于）：本校教材选用组织机构及职责；本校教材选用程序及要求；本课程教材选用过程；本课程教学选用教材结果公示及备案情况；本课程教材使用及核查情况（遵照选用结果使用教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napToGrid/>
          <w:color w:val="auto"/>
          <w:kern w:val="2"/>
          <w:sz w:val="32"/>
          <w:szCs w:val="32"/>
          <w:lang w:eastAsia="zh-CN"/>
        </w:rPr>
      </w:pPr>
      <w:r>
        <w:rPr>
          <w:rFonts w:hint="eastAsia" w:ascii="黑体" w:hAnsi="黑体" w:eastAsia="黑体" w:cs="黑体"/>
          <w:b w:val="0"/>
          <w:bCs/>
          <w:snapToGrid/>
          <w:color w:val="auto"/>
          <w:kern w:val="2"/>
          <w:sz w:val="32"/>
          <w:szCs w:val="32"/>
          <w:lang w:eastAsia="zh-CN"/>
        </w:rPr>
        <w:t>二、参赛视频材料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教学团队按照教学设计实施课堂教学（或专周实习实训、岗位实习教学），每人录制1学时（具体时长与教案中的学时</w:t>
      </w:r>
      <w:r>
        <w:rPr>
          <w:rFonts w:hint="eastAsia" w:ascii="仿宋_GB2312" w:hAnsi="仿宋_GB2312" w:eastAsia="仿宋_GB2312" w:cs="仿宋_GB2312"/>
          <w:b w:val="0"/>
          <w:bCs/>
          <w:snapToGrid/>
          <w:color w:val="auto"/>
          <w:kern w:val="2"/>
          <w:sz w:val="32"/>
          <w:szCs w:val="32"/>
          <w:lang w:val="en-US" w:eastAsia="zh-CN"/>
        </w:rPr>
        <w:t>安排</w:t>
      </w:r>
      <w:r>
        <w:rPr>
          <w:rFonts w:hint="eastAsia" w:ascii="仿宋_GB2312" w:hAnsi="仿宋_GB2312" w:eastAsia="仿宋_GB2312" w:cs="仿宋_GB2312"/>
          <w:b w:val="0"/>
          <w:bCs/>
          <w:snapToGrid/>
          <w:color w:val="auto"/>
          <w:kern w:val="2"/>
          <w:sz w:val="32"/>
          <w:szCs w:val="32"/>
          <w:lang w:eastAsia="zh-CN"/>
        </w:rPr>
        <w:t>保持一致）的课堂教学视频。课堂教学应在实际教学场所，班级全体学生参加（实施分班教学需有说明）。课堂教学视频应呈现课程属性特质、反映团队成员教学风格。专业课程二组至少有2个视频呈现教师实操演示与教学指导。课堂实录视频须采用3机位全程连续录制，镜头固定，其中一个机位对准黑板和屏幕，另两个机位根据教学实际固定镜头位置，须覆盖教室全景（1学时教学需要两个教学场所的，每个教学场所均须安放固定镜头，机位总数为3个）。3机位须同步录制，保证音视频准确同步。录课过程中拍摄及其他人员不在场，提交的视频从拍摄人员离场开始到拍摄人员停机为止（1学时之外的录制时长不超过2分钟）。所有机位拍摄的视频须保证音轨连续，不另行剪辑及配音，不加片头片尾、字幕注解。视频采用MP4格式封装，单个视频文件大小不超过500M。每段视频文件以“教案序号+第几学时+教案页码+教学环节名称”来命名（其中教案页码以教案PDF文件顶部显示的页码为准），含教师实操演示与教学指导的视频文件以“教案序号+第几学时+教案页码+教学环节名称+实操起始时间n'm"-实操结束时间n'm"”来命名（实操起止时间可以多段，用“+”连接）。视频录制采用H.264/AVC编码格式压缩，动态比特率（码流）不低于1024Kbps，分辨率设定为1280*720，采用逐行扫描，帧速率为25帧/秒。音频采用AAC格式压缩，采样率48KHz，比特率（码流）128Kbps(恒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napToGrid/>
          <w:color w:val="auto"/>
          <w:kern w:val="2"/>
          <w:sz w:val="32"/>
          <w:szCs w:val="32"/>
          <w:lang w:eastAsia="zh-CN"/>
        </w:rPr>
      </w:pPr>
      <w:r>
        <w:rPr>
          <w:rFonts w:hint="eastAsia" w:ascii="黑体" w:hAnsi="黑体" w:eastAsia="黑体" w:cs="黑体"/>
          <w:b w:val="0"/>
          <w:bCs/>
          <w:snapToGrid/>
          <w:color w:val="auto"/>
          <w:kern w:val="2"/>
          <w:sz w:val="32"/>
          <w:szCs w:val="32"/>
          <w:lang w:eastAsia="zh-CN"/>
        </w:rPr>
        <w:t>三、决赛程序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w:t>
      </w:r>
      <w:r>
        <w:rPr>
          <w:rFonts w:hint="eastAsia" w:ascii="楷体_GB2312" w:hAnsi="楷体_GB2312" w:eastAsia="楷体_GB2312" w:cs="楷体_GB2312"/>
          <w:b w:val="0"/>
          <w:bCs/>
          <w:snapToGrid/>
          <w:color w:val="auto"/>
          <w:kern w:val="2"/>
          <w:sz w:val="32"/>
          <w:szCs w:val="32"/>
          <w:lang w:val="en-US" w:eastAsia="zh-CN"/>
        </w:rPr>
        <w:t>一</w:t>
      </w:r>
      <w:r>
        <w:rPr>
          <w:rFonts w:hint="eastAsia" w:ascii="楷体_GB2312" w:hAnsi="楷体_GB2312" w:eastAsia="楷体_GB2312" w:cs="楷体_GB2312"/>
          <w:b w:val="0"/>
          <w:bCs/>
          <w:snapToGrid/>
          <w:color w:val="auto"/>
          <w:kern w:val="2"/>
          <w:sz w:val="32"/>
          <w:szCs w:val="32"/>
          <w:lang w:eastAsia="zh-CN"/>
        </w:rPr>
        <w:t>）</w:t>
      </w:r>
      <w:r>
        <w:rPr>
          <w:rFonts w:hint="eastAsia" w:ascii="楷体_GB2312" w:hAnsi="楷体_GB2312" w:eastAsia="楷体_GB2312" w:cs="楷体_GB2312"/>
          <w:b w:val="0"/>
          <w:bCs/>
          <w:snapToGrid/>
          <w:color w:val="auto"/>
          <w:kern w:val="2"/>
          <w:sz w:val="32"/>
          <w:szCs w:val="32"/>
          <w:lang w:val="en-US" w:eastAsia="zh-CN"/>
        </w:rPr>
        <w:t>赛前</w:t>
      </w:r>
      <w:r>
        <w:rPr>
          <w:rFonts w:hint="eastAsia" w:ascii="楷体_GB2312" w:hAnsi="楷体_GB2312" w:eastAsia="楷体_GB2312" w:cs="楷体_GB2312"/>
          <w:b w:val="0"/>
          <w:bCs/>
          <w:snapToGrid/>
          <w:color w:val="auto"/>
          <w:kern w:val="2"/>
          <w:sz w:val="32"/>
          <w:szCs w:val="32"/>
          <w:lang w:eastAsia="zh-CN"/>
        </w:rPr>
        <w:t>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1.入围决赛的教学团队赛前一天抽签决定场次。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val="en-US" w:eastAsia="zh-CN"/>
        </w:rPr>
        <w:t>2.</w:t>
      </w:r>
      <w:r>
        <w:rPr>
          <w:rFonts w:hint="eastAsia" w:ascii="仿宋_GB2312" w:hAnsi="仿宋_GB2312" w:eastAsia="仿宋_GB2312" w:cs="仿宋_GB2312"/>
          <w:b w:val="0"/>
          <w:bCs/>
          <w:snapToGrid/>
          <w:color w:val="auto"/>
          <w:kern w:val="2"/>
          <w:sz w:val="32"/>
          <w:szCs w:val="32"/>
          <w:lang w:eastAsia="zh-CN"/>
        </w:rPr>
        <w:t>决赛当天，教学团队按时进入候赛室检录，在参赛作品范围内随机抽定两份不同教案，自选其中部分内容进行准备（初赛视频已呈现的相关内容除外）。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3.教学团队在备赛室可利用自带电脑、小型教具与网络资源进行准备，限时30分钟。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sectPr>
          <w:footerReference r:id="rId6" w:type="default"/>
          <w:pgSz w:w="11906" w:h="16839"/>
          <w:pgMar w:top="1417" w:right="1304" w:bottom="1304" w:left="1701" w:header="0" w:footer="1134"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w:t>
      </w:r>
      <w:r>
        <w:rPr>
          <w:rFonts w:hint="eastAsia" w:ascii="楷体_GB2312" w:hAnsi="楷体_GB2312" w:eastAsia="楷体_GB2312" w:cs="楷体_GB2312"/>
          <w:b w:val="0"/>
          <w:bCs/>
          <w:snapToGrid/>
          <w:color w:val="auto"/>
          <w:kern w:val="2"/>
          <w:sz w:val="32"/>
          <w:szCs w:val="32"/>
          <w:lang w:val="en-US" w:eastAsia="zh-CN"/>
        </w:rPr>
        <w:t>二</w:t>
      </w:r>
      <w:r>
        <w:rPr>
          <w:rFonts w:hint="eastAsia" w:ascii="楷体_GB2312" w:hAnsi="楷体_GB2312" w:eastAsia="楷体_GB2312" w:cs="楷体_GB2312"/>
          <w:b w:val="0"/>
          <w:bCs/>
          <w:snapToGrid/>
          <w:color w:val="auto"/>
          <w:kern w:val="2"/>
          <w:sz w:val="32"/>
          <w:szCs w:val="32"/>
          <w:lang w:eastAsia="zh-CN"/>
        </w:rPr>
        <w:t>）内容介绍与教学展示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1.教学团队进入比赛室后，一名参赛教师简要介绍教学实施报告的主要内容、创新特色，时间不超过8分钟。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2.两名参赛教师分别针对所抽定的两份不同教案中的自选内容进行无学生教学展示（如：新知讲解、示范操作、学习结果分析、课堂教学小结等），两段无学生教学展示合计时间12—16分钟。无学生教学展示后，参赛团队回避，评审专家讨论答辩问题，用时不超过5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rPr>
      </w:pPr>
      <w:r>
        <w:rPr>
          <w:rFonts w:hint="eastAsia" w:ascii="楷体_GB2312" w:hAnsi="楷体_GB2312" w:eastAsia="楷体_GB2312" w:cs="楷体_GB2312"/>
          <w:b w:val="0"/>
          <w:bCs/>
          <w:snapToGrid/>
          <w:color w:val="auto"/>
          <w:kern w:val="2"/>
          <w:sz w:val="32"/>
          <w:szCs w:val="32"/>
          <w:lang w:eastAsia="zh-CN"/>
        </w:rPr>
        <w:t>（</w:t>
      </w:r>
      <w:r>
        <w:rPr>
          <w:rFonts w:hint="eastAsia" w:ascii="楷体_GB2312" w:hAnsi="楷体_GB2312" w:eastAsia="楷体_GB2312" w:cs="楷体_GB2312"/>
          <w:b w:val="0"/>
          <w:bCs/>
          <w:snapToGrid/>
          <w:color w:val="auto"/>
          <w:kern w:val="2"/>
          <w:sz w:val="32"/>
          <w:szCs w:val="32"/>
          <w:lang w:val="en-US" w:eastAsia="zh-CN"/>
        </w:rPr>
        <w:t>三</w:t>
      </w:r>
      <w:r>
        <w:rPr>
          <w:rFonts w:hint="eastAsia" w:ascii="楷体_GB2312" w:hAnsi="楷体_GB2312" w:eastAsia="楷体_GB2312" w:cs="楷体_GB2312"/>
          <w:b w:val="0"/>
          <w:bCs/>
          <w:snapToGrid/>
          <w:color w:val="auto"/>
          <w:kern w:val="2"/>
          <w:sz w:val="32"/>
          <w:szCs w:val="32"/>
          <w:lang w:eastAsia="zh-CN"/>
        </w:rPr>
        <w:t>）</w:t>
      </w:r>
      <w:r>
        <w:rPr>
          <w:rFonts w:hint="eastAsia" w:ascii="楷体_GB2312" w:hAnsi="楷体_GB2312" w:eastAsia="楷体_GB2312" w:cs="楷体_GB2312"/>
          <w:b w:val="0"/>
          <w:bCs/>
          <w:snapToGrid/>
          <w:color w:val="auto"/>
          <w:kern w:val="2"/>
          <w:sz w:val="32"/>
          <w:szCs w:val="32"/>
          <w:lang w:val="en-US" w:eastAsia="zh-CN"/>
        </w:rPr>
        <w:t>答辩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教学团队回避等待评委出题，返回后回答屏幕显示的4个问题，时间不超过10分钟。第1题涉及职业教育政策法规、教育教学理论、教学方式方法等在实践中的应用，第2题涉及教师数字素养方面内容；第3、4个问题侧重参赛课程涉及的学科/专业教学问题或本专业领域生产实践问题及产业发展趋势问题等。教学团队成员每人至少独立回答1题，回答问题时，可以展示佐证资料；评委不作复述不能解读，可以追问。</w:t>
      </w:r>
    </w:p>
    <w:p>
      <w:pPr>
        <w:pStyle w:val="20"/>
        <w:keepNext w:val="0"/>
        <w:keepLines w:val="0"/>
        <w:pageBreakBefore w:val="0"/>
        <w:kinsoku/>
        <w:topLinePunct w:val="0"/>
        <w:bidi w:val="0"/>
        <w:spacing w:line="560" w:lineRule="exact"/>
        <w:jc w:val="both"/>
        <w:rPr>
          <w:rFonts w:hint="eastAsia" w:ascii="黑体" w:hAnsi="黑体" w:eastAsia="黑体" w:cs="黑体"/>
          <w:b w:val="0"/>
          <w:bCs/>
          <w:color w:val="auto"/>
          <w:spacing w:val="0"/>
          <w:sz w:val="32"/>
          <w:szCs w:val="32"/>
          <w:lang w:val="en-US" w:eastAsia="zh-CN"/>
        </w:rPr>
        <w:sectPr>
          <w:footerReference r:id="rId7" w:type="default"/>
          <w:pgSz w:w="11906" w:h="16839"/>
          <w:pgMar w:top="1417" w:right="1304" w:bottom="1304" w:left="1701" w:header="0" w:footer="1134" w:gutter="0"/>
          <w:pgNumType w:fmt="numberInDash"/>
          <w:cols w:space="720" w:num="1"/>
        </w:sectPr>
      </w:pPr>
    </w:p>
    <w:p>
      <w:pPr>
        <w:pStyle w:val="20"/>
        <w:keepNext w:val="0"/>
        <w:keepLines w:val="0"/>
        <w:pageBreakBefore w:val="0"/>
        <w:kinsoku/>
        <w:topLinePunct w:val="0"/>
        <w:bidi w:val="0"/>
        <w:spacing w:line="560" w:lineRule="exact"/>
        <w:jc w:val="both"/>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val="en-US" w:eastAsia="zh-CN"/>
        </w:rPr>
        <w:t>附件3</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比赛参赛报名表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仿宋_GB2312" w:eastAsia="仿宋_GB2312" w:cs="仿宋_GB2312"/>
          <w:b w:val="0"/>
          <w:bCs/>
          <w:snapToGrid/>
          <w:color w:val="auto"/>
          <w:kern w:val="2"/>
          <w:sz w:val="32"/>
          <w:szCs w:val="32"/>
          <w:lang w:val="en-US" w:eastAsia="zh-CN"/>
        </w:rPr>
      </w:pPr>
    </w:p>
    <w:p>
      <w:pPr>
        <w:pStyle w:val="2"/>
        <w:keepNext w:val="0"/>
        <w:keepLines w:val="0"/>
        <w:pageBreakBefore w:val="0"/>
        <w:widowControl/>
        <w:kinsoku/>
        <w:wordWrap/>
        <w:overflowPunct/>
        <w:topLinePunct w:val="0"/>
        <w:autoSpaceDE w:val="0"/>
        <w:autoSpaceDN w:val="0"/>
        <w:bidi w:val="0"/>
        <w:adjustRightInd w:val="0"/>
        <w:snapToGrid w:val="0"/>
        <w:ind w:firstLine="0" w:firstLineChars="0"/>
        <w:jc w:val="center"/>
        <w:textAlignment w:val="baseline"/>
        <w:rPr>
          <w:rFonts w:hint="eastAsia" w:ascii="黑体" w:hAnsi="黑体" w:eastAsia="黑体" w:cs="黑体"/>
          <w:sz w:val="28"/>
          <w:szCs w:val="28"/>
          <w:lang w:val="en-US" w:eastAsia="zh-CN"/>
        </w:rPr>
      </w:pPr>
      <w:r>
        <w:rPr>
          <w:rFonts w:hint="eastAsia" w:ascii="黑体" w:hAnsi="黑体" w:eastAsia="黑体" w:cs="黑体"/>
          <w:b w:val="0"/>
          <w:bCs/>
          <w:snapToGrid/>
          <w:color w:val="auto"/>
          <w:kern w:val="2"/>
          <w:sz w:val="28"/>
          <w:szCs w:val="28"/>
          <w:lang w:val="en-US" w:eastAsia="zh-CN"/>
        </w:rPr>
        <w:t>参赛内容基本信息</w:t>
      </w:r>
    </w:p>
    <w:tbl>
      <w:tblPr>
        <w:tblStyle w:val="21"/>
        <w:tblW w:w="0" w:type="auto"/>
        <w:tblInd w:w="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992"/>
        <w:gridCol w:w="1643"/>
        <w:gridCol w:w="56"/>
        <w:gridCol w:w="1417"/>
        <w:gridCol w:w="1842"/>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3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□中职组</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□高职组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3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b w:val="0"/>
                <w:bCs/>
                <w:snapToGrid/>
                <w:color w:val="auto"/>
                <w:kern w:val="2"/>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五年制前三年课程</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五年制后两年课程</w:t>
            </w:r>
          </w:p>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本科层次课程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4396" w:type="dxa"/>
            <w:gridSpan w:val="4"/>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□公共基础课程组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□专业课程一组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□专业课程二组</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□公共基础课程组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□专业课程一组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□专业课程二组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697" w:type="dxa"/>
            <w:gridSpan w:val="2"/>
            <w:vMerge w:val="restart"/>
            <w:tcBorders>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专业名称</w:t>
            </w:r>
            <w:r>
              <w:rPr>
                <w:rStyle w:val="14"/>
                <w:rFonts w:hint="eastAsia" w:ascii="仿宋_GB2312" w:hAnsi="仿宋_GB2312" w:eastAsia="仿宋_GB2312" w:cs="仿宋_GB2312"/>
                <w:color w:val="auto"/>
                <w:spacing w:val="0"/>
                <w:sz w:val="24"/>
                <w:szCs w:val="24"/>
              </w:rPr>
              <w:footnoteReference w:id="0"/>
            </w:r>
            <w:r>
              <w:rPr>
                <w:rFonts w:hint="eastAsia" w:ascii="仿宋_GB2312" w:hAnsi="仿宋_GB2312" w:eastAsia="仿宋_GB2312" w:cs="仿宋_GB2312"/>
                <w:color w:val="auto"/>
                <w:spacing w:val="0"/>
                <w:sz w:val="24"/>
                <w:szCs w:val="24"/>
              </w:rPr>
              <w:t>：</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专业代码：</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原专业名称：</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原专业代码：</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参赛课程名称</w:t>
            </w:r>
          </w:p>
        </w:tc>
        <w:tc>
          <w:tcPr>
            <w:tcW w:w="6096" w:type="dxa"/>
            <w:gridSpan w:val="5"/>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697"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参赛内容名称</w:t>
            </w:r>
          </w:p>
        </w:tc>
        <w:tc>
          <w:tcPr>
            <w:tcW w:w="6096" w:type="dxa"/>
            <w:gridSpan w:val="5"/>
            <w:noWrap w:val="0"/>
            <w:vAlign w:val="center"/>
          </w:tcPr>
          <w:p>
            <w:pPr>
              <w:keepNext w:val="0"/>
              <w:keepLines w:val="0"/>
              <w:pageBreakBefore w:val="0"/>
              <w:kinsoku/>
              <w:wordWrap/>
              <w:topLinePunct w:val="0"/>
              <w:bidi w:val="0"/>
              <w:spacing w:line="240" w:lineRule="auto"/>
              <w:ind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0"/>
                <w:sz w:val="21"/>
                <w:szCs w:val="21"/>
                <w:lang w:val="en-US" w:eastAsia="zh-CN"/>
              </w:rPr>
              <w:t>(填写课程标准中具体、明确的模块、单元、任务名称或名称组合)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705"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课程总学时</w:t>
            </w:r>
          </w:p>
        </w:tc>
        <w:tc>
          <w:tcPr>
            <w:tcW w:w="992" w:type="dxa"/>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c>
          <w:tcPr>
            <w:tcW w:w="1643"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参赛学时</w:t>
            </w:r>
          </w:p>
        </w:tc>
        <w:tc>
          <w:tcPr>
            <w:tcW w:w="1473" w:type="dxa"/>
            <w:gridSpan w:val="2"/>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c>
          <w:tcPr>
            <w:tcW w:w="1842"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0"/>
                <w:sz w:val="24"/>
                <w:szCs w:val="24"/>
              </w:rPr>
              <w:t>授课班级人数</w:t>
            </w:r>
          </w:p>
        </w:tc>
        <w:tc>
          <w:tcPr>
            <w:tcW w:w="1138" w:type="dxa"/>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r>
    </w:tbl>
    <w:p>
      <w:pPr>
        <w:pStyle w:val="2"/>
        <w:keepNext w:val="0"/>
        <w:keepLines w:val="0"/>
        <w:pageBreakBefore w:val="0"/>
        <w:kinsoku/>
        <w:wordWrap/>
        <w:topLinePunct w:val="0"/>
        <w:bidi w:val="0"/>
        <w:ind w:firstLine="0" w:firstLineChars="0"/>
        <w:jc w:val="center"/>
        <w:rPr>
          <w:rFonts w:hint="eastAsia" w:ascii="黑体" w:hAnsi="黑体" w:eastAsia="黑体" w:cs="黑体"/>
          <w:b w:val="0"/>
          <w:bCs/>
          <w:snapToGrid/>
          <w:color w:val="auto"/>
          <w:kern w:val="2"/>
          <w:sz w:val="28"/>
          <w:szCs w:val="28"/>
          <w:lang w:val="en-US" w:eastAsia="zh-CN"/>
        </w:rPr>
      </w:pPr>
    </w:p>
    <w:p>
      <w:pPr>
        <w:pStyle w:val="2"/>
        <w:keepNext w:val="0"/>
        <w:keepLines w:val="0"/>
        <w:pageBreakBefore w:val="0"/>
        <w:kinsoku/>
        <w:wordWrap/>
        <w:topLinePunct w:val="0"/>
        <w:bidi w:val="0"/>
        <w:ind w:firstLine="0" w:firstLineChars="0"/>
        <w:jc w:val="center"/>
        <w:rPr>
          <w:rFonts w:hint="eastAsia" w:ascii="仿宋_GB2312" w:hAnsi="仿宋_GB2312" w:eastAsia="仿宋_GB2312" w:cs="仿宋_GB2312"/>
          <w:b w:val="0"/>
          <w:bCs/>
          <w:snapToGrid/>
          <w:color w:val="auto"/>
          <w:kern w:val="2"/>
          <w:sz w:val="32"/>
          <w:szCs w:val="32"/>
          <w:lang w:eastAsia="zh-CN"/>
        </w:rPr>
      </w:pPr>
      <w:r>
        <w:rPr>
          <w:rFonts w:hint="eastAsia" w:ascii="黑体" w:hAnsi="黑体" w:eastAsia="黑体" w:cs="黑体"/>
          <w:b w:val="0"/>
          <w:bCs/>
          <w:snapToGrid/>
          <w:color w:val="auto"/>
          <w:kern w:val="2"/>
          <w:sz w:val="28"/>
          <w:szCs w:val="28"/>
          <w:lang w:val="en-US" w:eastAsia="zh-CN"/>
        </w:rPr>
        <w:t>参赛教师基本信息</w:t>
      </w:r>
      <w:r>
        <w:rPr>
          <w:rStyle w:val="14"/>
          <w:rFonts w:hint="eastAsia" w:ascii="黑体" w:hAnsi="黑体" w:eastAsia="黑体" w:cs="黑体"/>
          <w:snapToGrid w:val="0"/>
          <w:color w:val="auto"/>
          <w:spacing w:val="0"/>
          <w:kern w:val="0"/>
          <w:sz w:val="24"/>
          <w:szCs w:val="24"/>
          <w:lang w:val="en-US" w:eastAsia="zh-CN" w:bidi="ar-SA"/>
        </w:rPr>
        <w:footnoteReference w:id="1"/>
      </w:r>
    </w:p>
    <w:tbl>
      <w:tblPr>
        <w:tblStyle w:val="10"/>
        <w:tblW w:w="0" w:type="auto"/>
        <w:tblInd w:w="0" w:type="dxa"/>
        <w:tblLayout w:type="fixed"/>
        <w:tblCellMar>
          <w:top w:w="0" w:type="dxa"/>
          <w:left w:w="0" w:type="dxa"/>
          <w:bottom w:w="0" w:type="dxa"/>
          <w:right w:w="0" w:type="dxa"/>
        </w:tblCellMar>
      </w:tblPr>
      <w:tblGrid>
        <w:gridCol w:w="1036"/>
        <w:gridCol w:w="943"/>
        <w:gridCol w:w="749"/>
        <w:gridCol w:w="1119"/>
        <w:gridCol w:w="737"/>
        <w:gridCol w:w="1385"/>
        <w:gridCol w:w="981"/>
        <w:gridCol w:w="1880"/>
      </w:tblGrid>
      <w:tr>
        <w:tblPrEx>
          <w:tblCellMar>
            <w:top w:w="0" w:type="dxa"/>
            <w:left w:w="0" w:type="dxa"/>
            <w:bottom w:w="0" w:type="dxa"/>
            <w:right w:w="0" w:type="dxa"/>
          </w:tblCellMar>
        </w:tblPrEx>
        <w:trPr>
          <w:trHeight w:val="503"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学校（单位）名称</w:t>
            </w:r>
          </w:p>
        </w:tc>
        <w:tc>
          <w:tcPr>
            <w:tcW w:w="685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70"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姓名</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性别</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民族</w:t>
            </w:r>
          </w:p>
        </w:tc>
        <w:tc>
          <w:tcPr>
            <w:tcW w:w="1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教龄</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13"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身份证号码</w:t>
            </w:r>
          </w:p>
        </w:tc>
        <w:tc>
          <w:tcPr>
            <w:tcW w:w="26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1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联系电话</w:t>
            </w:r>
          </w:p>
        </w:tc>
        <w:tc>
          <w:tcPr>
            <w:tcW w:w="28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75"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职务</w:t>
            </w:r>
          </w:p>
        </w:tc>
        <w:tc>
          <w:tcPr>
            <w:tcW w:w="59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普通教师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教研室负责人</w:t>
            </w:r>
          </w:p>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系部（分院）负责人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校领导</w:t>
            </w:r>
          </w:p>
        </w:tc>
        <w:tc>
          <w:tcPr>
            <w:tcW w:w="18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ind w:firstLine="0" w:firstLineChars="0"/>
              <w:jc w:val="center"/>
              <w:rPr>
                <w:rFonts w:hint="eastAsia" w:ascii="仿宋_GB2312" w:hAnsi="仿宋_GB2312" w:eastAsia="仿宋_GB2312" w:cs="仿宋_GB2312"/>
                <w:snapToGrid w:val="0"/>
                <w:color w:val="000000"/>
                <w:kern w:val="0"/>
                <w:sz w:val="24"/>
                <w:szCs w:val="24"/>
                <w:lang w:val="en-US" w:eastAsia="zh-CN" w:bidi="ar"/>
              </w:rPr>
            </w:pPr>
            <w:r>
              <w:rPr>
                <w:rFonts w:hint="eastAsia" w:ascii="仿宋_GB2312" w:hAnsi="仿宋_GB2312" w:eastAsia="仿宋_GB2312" w:cs="仿宋_GB2312"/>
                <w:snapToGrid w:val="0"/>
                <w:color w:val="000000"/>
                <w:kern w:val="0"/>
                <w:sz w:val="24"/>
                <w:szCs w:val="24"/>
                <w:lang w:val="en-US" w:eastAsia="zh-CN" w:bidi="ar"/>
              </w:rPr>
              <w:t>1 寸照片</w:t>
            </w:r>
          </w:p>
          <w:p>
            <w:pPr>
              <w:keepNext w:val="0"/>
              <w:keepLines w:val="0"/>
              <w:pageBreakBefore w:val="0"/>
              <w:widowControl/>
              <w:suppressLineNumbers w:val="0"/>
              <w:kinsoku/>
              <w:wordWrap/>
              <w:topLinePunct w:val="0"/>
              <w:bidi w:val="0"/>
              <w:ind w:firstLine="0" w:firstLineChars="0"/>
              <w:jc w:val="center"/>
              <w:rPr>
                <w:rFonts w:hint="eastAsia" w:ascii="仿宋_GB2312" w:hAnsi="仿宋_GB2312" w:eastAsia="仿宋_GB2312" w:cs="仿宋_GB2312"/>
                <w:color w:val="C00000"/>
                <w:spacing w:val="0"/>
                <w:sz w:val="24"/>
                <w:szCs w:val="24"/>
                <w:lang w:eastAsia="zh-CN"/>
              </w:rPr>
            </w:pPr>
            <w:r>
              <w:rPr>
                <w:rFonts w:hint="eastAsia" w:ascii="仿宋_GB2312" w:hAnsi="仿宋_GB2312" w:eastAsia="仿宋_GB2312" w:cs="仿宋_GB2312"/>
                <w:snapToGrid w:val="0"/>
                <w:color w:val="000000"/>
                <w:kern w:val="0"/>
                <w:sz w:val="24"/>
                <w:szCs w:val="24"/>
                <w:lang w:val="en-US" w:eastAsia="zh-CN" w:bidi="ar"/>
              </w:rPr>
              <w:t>（可用电子版）</w:t>
            </w:r>
          </w:p>
        </w:tc>
      </w:tr>
      <w:tr>
        <w:tblPrEx>
          <w:tblCellMar>
            <w:top w:w="0" w:type="dxa"/>
            <w:left w:w="0" w:type="dxa"/>
            <w:bottom w:w="0" w:type="dxa"/>
            <w:right w:w="0" w:type="dxa"/>
          </w:tblCellMar>
        </w:tblPrEx>
        <w:trPr>
          <w:trHeight w:val="528"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职称</w:t>
            </w:r>
          </w:p>
        </w:tc>
        <w:tc>
          <w:tcPr>
            <w:tcW w:w="5914" w:type="dxa"/>
            <w:gridSpan w:val="6"/>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未定级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初级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中级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副高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正高</w:t>
            </w:r>
          </w:p>
        </w:tc>
        <w:tc>
          <w:tcPr>
            <w:tcW w:w="188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641"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职业资格</w:t>
            </w:r>
          </w:p>
        </w:tc>
        <w:tc>
          <w:tcPr>
            <w:tcW w:w="5914" w:type="dxa"/>
            <w:gridSpan w:val="6"/>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C00000"/>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高级技师   □高级职业技能等级证书</w:t>
            </w:r>
          </w:p>
        </w:tc>
        <w:tc>
          <w:tcPr>
            <w:tcW w:w="188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C00000"/>
                <w:spacing w:val="0"/>
                <w:sz w:val="24"/>
                <w:szCs w:val="24"/>
              </w:rPr>
            </w:pPr>
          </w:p>
        </w:tc>
      </w:tr>
      <w:tr>
        <w:tblPrEx>
          <w:tblCellMar>
            <w:top w:w="0" w:type="dxa"/>
            <w:left w:w="0" w:type="dxa"/>
            <w:bottom w:w="0" w:type="dxa"/>
            <w:right w:w="0" w:type="dxa"/>
          </w:tblCellMar>
        </w:tblPrEx>
        <w:trPr>
          <w:trHeight w:val="456"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学历</w:t>
            </w:r>
          </w:p>
        </w:tc>
        <w:tc>
          <w:tcPr>
            <w:tcW w:w="7794" w:type="dxa"/>
            <w:gridSpan w:val="7"/>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大专及以下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本科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硕士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博士</w:t>
            </w:r>
          </w:p>
        </w:tc>
      </w:tr>
      <w:tr>
        <w:tblPrEx>
          <w:tblCellMar>
            <w:top w:w="0" w:type="dxa"/>
            <w:left w:w="0" w:type="dxa"/>
            <w:bottom w:w="0" w:type="dxa"/>
            <w:right w:w="0" w:type="dxa"/>
          </w:tblCellMar>
        </w:tblPrEx>
        <w:trPr>
          <w:trHeight w:val="737"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身份</w:t>
            </w:r>
          </w:p>
        </w:tc>
        <w:tc>
          <w:tcPr>
            <w:tcW w:w="7794" w:type="dxa"/>
            <w:gridSpan w:val="7"/>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在职教师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企业兼职教师</w:t>
            </w:r>
          </w:p>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国家级教学创新团队成员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省级教学创新团队成员</w:t>
            </w:r>
          </w:p>
          <w:p>
            <w:pPr>
              <w:keepNext w:val="0"/>
              <w:keepLines w:val="0"/>
              <w:pageBreakBefore w:val="0"/>
              <w:widowControl/>
              <w:suppressLineNumbers w:val="0"/>
              <w:kinsoku/>
              <w:wordWrap/>
              <w:topLinePunct w:val="0"/>
              <w:bidi w:val="0"/>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lang w:val="en-US" w:eastAsia="zh-CN"/>
              </w:rPr>
              <w:t xml:space="preserve">国家级教学名师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省级教学名师</w:t>
            </w:r>
            <w:r>
              <w:rPr>
                <w:rFonts w:hint="eastAsia" w:ascii="仿宋_GB2312" w:hAnsi="仿宋_GB2312" w:eastAsia="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snapToGrid w:val="0"/>
                <w:color w:val="000000"/>
                <w:kern w:val="0"/>
                <w:sz w:val="24"/>
                <w:szCs w:val="24"/>
                <w:lang w:val="en-US" w:eastAsia="zh-CN" w:bidi="ar"/>
              </w:rPr>
              <w:t>国家级教学成果奖主持人</w:t>
            </w:r>
          </w:p>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省级教学成果奖主持人</w:t>
            </w:r>
          </w:p>
        </w:tc>
      </w:tr>
      <w:tr>
        <w:tblPrEx>
          <w:tblCellMar>
            <w:top w:w="0" w:type="dxa"/>
            <w:left w:w="0" w:type="dxa"/>
            <w:bottom w:w="0" w:type="dxa"/>
            <w:right w:w="0" w:type="dxa"/>
          </w:tblCellMar>
        </w:tblPrEx>
        <w:trPr>
          <w:trHeight w:val="340"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rPr>
              <w:t>承担具体教学任务</w:t>
            </w:r>
          </w:p>
        </w:tc>
        <w:tc>
          <w:tcPr>
            <w:tcW w:w="6851" w:type="dxa"/>
            <w:gridSpan w:val="6"/>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2"/>
                <w:szCs w:val="22"/>
                <w:lang w:val="en-US" w:eastAsia="zh-CN"/>
              </w:rPr>
              <w:t>(填写至少一条近 3 年本人曾担任参赛课程或相关课程的教学任务）</w:t>
            </w:r>
          </w:p>
        </w:tc>
      </w:tr>
    </w:tbl>
    <w:p>
      <w:pPr>
        <w:pStyle w:val="2"/>
        <w:keepNext w:val="0"/>
        <w:keepLines w:val="0"/>
        <w:pageBreakBefore w:val="0"/>
        <w:kinsoku/>
        <w:wordWrap/>
        <w:topLinePunct w:val="0"/>
        <w:bidi w:val="0"/>
        <w:ind w:firstLine="0" w:firstLineChars="0"/>
        <w:jc w:val="center"/>
        <w:rPr>
          <w:rFonts w:hint="eastAsia" w:ascii="黑体" w:hAnsi="黑体" w:eastAsia="黑体" w:cs="黑体"/>
          <w:b w:val="0"/>
          <w:bCs/>
          <w:snapToGrid/>
          <w:color w:val="auto"/>
          <w:kern w:val="2"/>
          <w:sz w:val="28"/>
          <w:szCs w:val="28"/>
          <w:lang w:val="en-US" w:eastAsia="zh-CN"/>
        </w:rPr>
      </w:pPr>
    </w:p>
    <w:p>
      <w:pPr>
        <w:pStyle w:val="2"/>
        <w:keepNext w:val="0"/>
        <w:keepLines w:val="0"/>
        <w:pageBreakBefore w:val="0"/>
        <w:kinsoku/>
        <w:wordWrap/>
        <w:topLinePunct w:val="0"/>
        <w:bidi w:val="0"/>
        <w:ind w:firstLine="0" w:firstLineChars="0"/>
        <w:jc w:val="center"/>
        <w:rPr>
          <w:rFonts w:hint="eastAsia" w:ascii="黑体" w:hAnsi="黑体" w:eastAsia="黑体" w:cs="黑体"/>
          <w:b w:val="0"/>
          <w:bCs/>
          <w:snapToGrid/>
          <w:color w:val="auto"/>
          <w:kern w:val="2"/>
          <w:sz w:val="28"/>
          <w:szCs w:val="28"/>
          <w:lang w:val="en-US" w:eastAsia="zh-CN"/>
        </w:rPr>
      </w:pPr>
      <w:r>
        <w:rPr>
          <w:rFonts w:hint="eastAsia" w:ascii="黑体" w:hAnsi="黑体" w:eastAsia="黑体" w:cs="黑体"/>
          <w:b w:val="0"/>
          <w:bCs/>
          <w:snapToGrid/>
          <w:color w:val="auto"/>
          <w:kern w:val="2"/>
          <w:sz w:val="28"/>
          <w:szCs w:val="28"/>
          <w:lang w:val="en-US" w:eastAsia="zh-CN"/>
        </w:rPr>
        <w:t>参赛承诺与说明</w:t>
      </w:r>
      <w:r>
        <w:rPr>
          <w:rStyle w:val="14"/>
          <w:rFonts w:hint="eastAsia" w:ascii="黑体" w:hAnsi="黑体" w:eastAsia="黑体" w:cs="黑体"/>
          <w:b w:val="0"/>
          <w:bCs/>
          <w:snapToGrid/>
          <w:color w:val="auto"/>
          <w:kern w:val="2"/>
          <w:sz w:val="28"/>
          <w:szCs w:val="28"/>
          <w:lang w:val="en-US" w:eastAsia="zh-CN"/>
        </w:rPr>
        <w:footnoteReference w:id="2"/>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1093"/>
        <w:gridCol w:w="2893"/>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rPr>
              <w:t>本人近 2 年</w:t>
            </w:r>
            <w:r>
              <w:rPr>
                <w:rFonts w:hint="eastAsia" w:ascii="仿宋_GB2312" w:hAnsi="仿宋_GB2312" w:eastAsia="仿宋_GB2312" w:cs="仿宋_GB2312"/>
                <w:color w:val="auto"/>
                <w:spacing w:val="0"/>
                <w:sz w:val="24"/>
                <w:szCs w:val="24"/>
                <w:lang w:val="en-US" w:eastAsia="zh-CN"/>
              </w:rPr>
              <w:t>未获得</w:t>
            </w:r>
            <w:r>
              <w:rPr>
                <w:rFonts w:hint="eastAsia" w:ascii="仿宋_GB2312" w:hAnsi="仿宋_GB2312" w:eastAsia="仿宋_GB2312" w:cs="仿宋_GB2312"/>
                <w:color w:val="auto"/>
                <w:spacing w:val="0"/>
                <w:sz w:val="24"/>
                <w:szCs w:val="24"/>
              </w:rPr>
              <w:t>全国职业院校技能大赛教学能力比赛</w:t>
            </w:r>
            <w:r>
              <w:rPr>
                <w:rFonts w:hint="eastAsia" w:ascii="仿宋_GB2312" w:hAnsi="仿宋_GB2312" w:eastAsia="仿宋_GB2312" w:cs="仿宋_GB2312"/>
                <w:color w:val="auto"/>
                <w:spacing w:val="0"/>
                <w:sz w:val="24"/>
                <w:szCs w:val="24"/>
                <w:lang w:val="en-US" w:eastAsia="zh-CN"/>
              </w:rPr>
              <w:t>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lang w:val="en-US" w:eastAsia="zh-CN"/>
              </w:rPr>
              <w:t>本人本年度没有脱岗备赛的情形</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rPr>
            </w:pPr>
            <w:r>
              <w:rPr>
                <w:rFonts w:hint="eastAsia" w:ascii="仿宋_GB2312" w:hAnsi="仿宋_GB2312" w:eastAsia="仿宋_GB2312" w:cs="仿宋_GB2312"/>
                <w:color w:val="auto"/>
                <w:spacing w:val="0"/>
                <w:sz w:val="24"/>
                <w:szCs w:val="24"/>
                <w:lang w:val="en-US" w:eastAsia="zh-CN"/>
              </w:rPr>
              <w:t xml:space="preserve">本校本次参赛的专业类/公共基础课程近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年未获得全国职业院校技能大赛教学能力比赛一等奖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本次本教学团队不多于1人参加过近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年全国职业院校技能大赛教学能力比赛</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本次参赛作品未参加过近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年全国职业院校技能大赛教学能力比赛</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snapToGrid w:val="0"/>
                <w:color w:val="auto"/>
                <w:spacing w:val="-4"/>
                <w:kern w:val="0"/>
                <w:sz w:val="24"/>
                <w:szCs w:val="24"/>
                <w:highlight w:val="none"/>
                <w:lang w:val="en-US" w:eastAsia="en-US" w:bidi="ar-SA"/>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本次参赛作品未获得过近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年福建省职业院校技能大赛教学能力比赛一等奖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以上填报的参赛资格相关信息、个人信息、近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年参赛信息均真实无误</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保证参赛作品无知识产权异议或其他法律纠纷</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同意</w:t>
            </w:r>
            <w:r>
              <w:rPr>
                <w:rFonts w:hint="eastAsia" w:ascii="仿宋_GB2312" w:hAnsi="仿宋_GB2312" w:eastAsia="仿宋_GB2312" w:cs="仿宋_GB2312"/>
                <w:color w:val="auto"/>
                <w:spacing w:val="0"/>
                <w:sz w:val="24"/>
                <w:szCs w:val="24"/>
                <w:lang w:val="en-US" w:eastAsia="zh-CN"/>
              </w:rPr>
              <w:t>大赛办</w:t>
            </w:r>
            <w:r>
              <w:rPr>
                <w:rFonts w:hint="eastAsia" w:ascii="仿宋_GB2312" w:hAnsi="仿宋_GB2312" w:eastAsia="仿宋_GB2312" w:cs="仿宋_GB2312"/>
                <w:color w:val="auto"/>
                <w:spacing w:val="0"/>
                <w:sz w:val="24"/>
                <w:szCs w:val="24"/>
              </w:rPr>
              <w:t>拥有对参赛作品进行公益性共享</w:t>
            </w:r>
            <w:r>
              <w:rPr>
                <w:rFonts w:hint="eastAsia" w:ascii="仿宋_GB2312" w:hAnsi="仿宋_GB2312" w:eastAsia="仿宋_GB2312" w:cs="仿宋_GB2312"/>
                <w:color w:val="auto"/>
                <w:spacing w:val="0"/>
                <w:sz w:val="24"/>
                <w:szCs w:val="24"/>
                <w:lang w:eastAsia="zh-CN"/>
              </w:rPr>
              <w:t>、</w:t>
            </w:r>
            <w:r>
              <w:rPr>
                <w:rFonts w:hint="eastAsia" w:ascii="仿宋_GB2312" w:hAnsi="仿宋_GB2312" w:eastAsia="仿宋_GB2312" w:cs="仿宋_GB2312"/>
                <w:color w:val="auto"/>
                <w:spacing w:val="0"/>
                <w:sz w:val="24"/>
                <w:szCs w:val="24"/>
                <w:lang w:val="en-US" w:eastAsia="zh-CN"/>
              </w:rPr>
              <w:t>展示的</w:t>
            </w:r>
            <w:r>
              <w:rPr>
                <w:rFonts w:hint="eastAsia" w:ascii="仿宋_GB2312" w:hAnsi="仿宋_GB2312" w:eastAsia="仿宋_GB2312" w:cs="仿宋_GB2312"/>
                <w:color w:val="auto"/>
                <w:spacing w:val="0"/>
                <w:sz w:val="24"/>
                <w:szCs w:val="24"/>
              </w:rPr>
              <w:t>权利</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89"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0"/>
                <w:sz w:val="24"/>
                <w:szCs w:val="24"/>
              </w:rPr>
            </w:pPr>
            <w:r>
              <w:rPr>
                <w:rFonts w:hint="eastAsia" w:ascii="仿宋" w:hAnsi="仿宋" w:eastAsia="仿宋" w:cs="Times New Roman"/>
                <w:color w:val="auto"/>
                <w:spacing w:val="-4"/>
                <w:sz w:val="24"/>
                <w:highlight w:val="none"/>
                <w:lang w:val="en-US" w:eastAsia="zh-CN"/>
              </w:rPr>
              <w:t>专业人才培养方案网址</w:t>
            </w:r>
          </w:p>
        </w:tc>
        <w:tc>
          <w:tcPr>
            <w:tcW w:w="5530" w:type="dxa"/>
            <w:gridSpan w:val="3"/>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89"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0"/>
                <w:sz w:val="24"/>
                <w:szCs w:val="24"/>
              </w:rPr>
            </w:pPr>
            <w:r>
              <w:rPr>
                <w:rFonts w:hint="eastAsia" w:ascii="仿宋" w:hAnsi="仿宋" w:eastAsia="仿宋" w:cs="Times New Roman"/>
                <w:color w:val="auto"/>
                <w:spacing w:val="-4"/>
                <w:sz w:val="24"/>
                <w:highlight w:val="none"/>
                <w:lang w:val="en-US" w:eastAsia="zh-CN"/>
              </w:rPr>
              <w:t>参加市级或校级比赛获奖情况</w:t>
            </w:r>
          </w:p>
        </w:tc>
        <w:tc>
          <w:tcPr>
            <w:tcW w:w="5530" w:type="dxa"/>
            <w:gridSpan w:val="3"/>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9" w:type="dxa"/>
            <w:gridSpan w:val="4"/>
            <w:noWrap w:val="0"/>
            <w:vAlign w:val="center"/>
          </w:tcPr>
          <w:p>
            <w:pPr>
              <w:keepNext w:val="0"/>
              <w:keepLines w:val="0"/>
              <w:pageBreakBefore w:val="0"/>
              <w:widowControl/>
              <w:suppressLineNumbers w:val="0"/>
              <w:kinsoku/>
              <w:wordWrap/>
              <w:topLinePunct w:val="0"/>
              <w:bidi w:val="0"/>
              <w:ind w:firstLine="0" w:firstLineChars="0"/>
              <w:jc w:val="left"/>
              <w:rPr>
                <w:rFonts w:hint="eastAsia" w:ascii="仿宋_GB2312" w:hAnsi="仿宋_GB2312" w:eastAsia="仿宋_GB2312" w:cs="仿宋_GB2312"/>
                <w:color w:val="auto"/>
                <w:spacing w:val="-4"/>
                <w:sz w:val="24"/>
                <w:szCs w:val="24"/>
                <w:highlight w:val="none"/>
              </w:rPr>
            </w:pPr>
            <w:r>
              <w:rPr>
                <w:rFonts w:ascii="仿宋_GB2312" w:hAnsi="宋体" w:eastAsia="仿宋_GB2312" w:cs="仿宋_GB2312"/>
                <w:b/>
                <w:bCs/>
                <w:snapToGrid w:val="0"/>
                <w:color w:val="auto"/>
                <w:kern w:val="0"/>
                <w:sz w:val="24"/>
                <w:szCs w:val="24"/>
                <w:lang w:val="en-US" w:eastAsia="zh-CN" w:bidi="ar"/>
              </w:rPr>
              <w:t>请提供</w:t>
            </w:r>
            <w:r>
              <w:rPr>
                <w:rFonts w:hint="eastAsia" w:ascii="仿宋_GB2312" w:hAnsi="宋体" w:eastAsia="仿宋_GB2312" w:cs="仿宋_GB2312"/>
                <w:b/>
                <w:bCs/>
                <w:snapToGrid w:val="0"/>
                <w:color w:val="auto"/>
                <w:kern w:val="0"/>
                <w:sz w:val="24"/>
                <w:szCs w:val="24"/>
                <w:lang w:val="en-US" w:eastAsia="zh-CN" w:bidi="ar"/>
              </w:rPr>
              <w:t>以下</w:t>
            </w:r>
            <w:r>
              <w:rPr>
                <w:rFonts w:ascii="仿宋_GB2312" w:hAnsi="宋体" w:eastAsia="仿宋_GB2312" w:cs="仿宋_GB2312"/>
                <w:b/>
                <w:bCs/>
                <w:snapToGrid w:val="0"/>
                <w:color w:val="auto"/>
                <w:kern w:val="0"/>
                <w:sz w:val="24"/>
                <w:szCs w:val="24"/>
                <w:lang w:val="en-US" w:eastAsia="zh-CN" w:bidi="ar"/>
              </w:rPr>
              <w:t>佐证材料（提交电子资料</w:t>
            </w:r>
            <w:r>
              <w:rPr>
                <w:rFonts w:hint="eastAsia" w:ascii="仿宋_GB2312" w:hAnsi="宋体" w:eastAsia="仿宋_GB2312" w:cs="仿宋_GB2312"/>
                <w:b/>
                <w:bCs/>
                <w:snapToGrid w:val="0"/>
                <w:color w:val="auto"/>
                <w:kern w:val="0"/>
                <w:sz w:val="24"/>
                <w:szCs w:val="24"/>
                <w:lang w:val="en-US" w:eastAsia="zh-CN" w:bidi="ar"/>
              </w:rPr>
              <w:t>，需打印盖校章后扫描上传至平台）：</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专业证明（目前在校生按原目录的专业名称培养至毕业。中职提供“全国中等职业学校学生管理信息系统”专业数据证明，高职提供“全国职业院校专业设置管理与公共信息服务平台”专业备案证明）</w:t>
            </w:r>
            <w:r>
              <w:rPr>
                <w:rFonts w:hint="eastAsia" w:ascii="仿宋" w:hAnsi="仿宋" w:eastAsia="仿宋"/>
                <w:color w:val="auto"/>
                <w:spacing w:val="-4"/>
                <w:sz w:val="22"/>
                <w:szCs w:val="20"/>
                <w:highlight w:val="none"/>
                <w:lang w:eastAsia="zh-CN"/>
              </w:rPr>
              <w:t>；</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授课班级学生花名册（中高职都需要）</w:t>
            </w:r>
            <w:r>
              <w:rPr>
                <w:rFonts w:hint="eastAsia" w:ascii="仿宋" w:hAnsi="仿宋" w:eastAsia="仿宋"/>
                <w:color w:val="auto"/>
                <w:spacing w:val="-4"/>
                <w:sz w:val="22"/>
                <w:szCs w:val="20"/>
                <w:highlight w:val="none"/>
                <w:lang w:eastAsia="zh-CN"/>
              </w:rPr>
              <w:t>；</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企业兼职教师聘任书（有此情况则需提供）</w:t>
            </w:r>
            <w:r>
              <w:rPr>
                <w:rFonts w:hint="eastAsia" w:ascii="仿宋" w:hAnsi="仿宋" w:eastAsia="仿宋"/>
                <w:color w:val="auto"/>
                <w:spacing w:val="-4"/>
                <w:sz w:val="22"/>
                <w:szCs w:val="20"/>
                <w:highlight w:val="none"/>
                <w:lang w:eastAsia="zh-CN"/>
              </w:rPr>
              <w:t>；</w:t>
            </w:r>
          </w:p>
          <w:p>
            <w:pPr>
              <w:keepNext w:val="0"/>
              <w:keepLines w:val="0"/>
              <w:pageBreakBefore w:val="0"/>
              <w:widowControl/>
              <w:kinsoku/>
              <w:wordWrap/>
              <w:topLinePunct w:val="0"/>
              <w:bidi w:val="0"/>
              <w:spacing w:line="300" w:lineRule="exact"/>
              <w:ind w:firstLine="0" w:firstLineChars="0"/>
              <w:rPr>
                <w:rFonts w:hint="eastAsia" w:ascii="仿宋_GB2312" w:hAnsi="仿宋_GB2312" w:eastAsia="仿宋" w:cs="仿宋_GB2312"/>
                <w:color w:val="auto"/>
                <w:spacing w:val="-4"/>
                <w:sz w:val="24"/>
                <w:szCs w:val="24"/>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东西协作院校协议（有此情况则需提供）</w:t>
            </w:r>
            <w:r>
              <w:rPr>
                <w:rFonts w:hint="eastAsia" w:ascii="仿宋" w:hAnsi="仿宋" w:eastAsia="仿宋"/>
                <w:color w:val="auto"/>
                <w:spacing w:val="-4"/>
                <w:sz w:val="22"/>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9"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个人签字</w:t>
            </w:r>
          </w:p>
        </w:tc>
        <w:tc>
          <w:tcPr>
            <w:tcW w:w="5530"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482" w:type="dxa"/>
            <w:gridSpan w:val="2"/>
            <w:noWrap w:val="0"/>
            <w:vAlign w:val="bottom"/>
          </w:tcPr>
          <w:p>
            <w:pPr>
              <w:keepNext w:val="0"/>
              <w:keepLines w:val="0"/>
              <w:pageBreakBefore w:val="0"/>
              <w:widowControl/>
              <w:kinsoku/>
              <w:wordWrap/>
              <w:topLinePunct w:val="0"/>
              <w:bidi w:val="0"/>
              <w:spacing w:line="480" w:lineRule="auto"/>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（所在单位签署意见并盖章）</w:t>
            </w:r>
          </w:p>
          <w:p>
            <w:pPr>
              <w:keepNext w:val="0"/>
              <w:keepLines w:val="0"/>
              <w:pageBreakBefore w:val="0"/>
              <w:widowControl/>
              <w:kinsoku/>
              <w:wordWrap/>
              <w:topLinePunct w:val="0"/>
              <w:bidi w:val="0"/>
              <w:spacing w:line="480" w:lineRule="auto"/>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日期：</w:t>
            </w:r>
          </w:p>
        </w:tc>
        <w:tc>
          <w:tcPr>
            <w:tcW w:w="4437" w:type="dxa"/>
            <w:gridSpan w:val="2"/>
            <w:noWrap w:val="0"/>
            <w:vAlign w:val="bottom"/>
          </w:tcPr>
          <w:p>
            <w:pPr>
              <w:keepNext w:val="0"/>
              <w:keepLines w:val="0"/>
              <w:pageBreakBefore w:val="0"/>
              <w:widowControl/>
              <w:kinsoku/>
              <w:wordWrap/>
              <w:topLinePunct w:val="0"/>
              <w:bidi w:val="0"/>
              <w:spacing w:line="240" w:lineRule="auto"/>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w:t>
            </w:r>
            <w:r>
              <w:rPr>
                <w:rFonts w:hint="eastAsia" w:ascii="仿宋_GB2312" w:hAnsi="仿宋_GB2312" w:eastAsia="仿宋_GB2312" w:cs="仿宋_GB2312"/>
                <w:color w:val="auto"/>
                <w:spacing w:val="-4"/>
                <w:sz w:val="24"/>
                <w:szCs w:val="24"/>
                <w:highlight w:val="none"/>
                <w:lang w:val="en-US" w:eastAsia="zh-CN"/>
              </w:rPr>
              <w:t>非省属</w:t>
            </w:r>
            <w:r>
              <w:rPr>
                <w:rFonts w:hint="eastAsia" w:ascii="仿宋_GB2312" w:hAnsi="仿宋_GB2312" w:eastAsia="仿宋_GB2312" w:cs="仿宋_GB2312"/>
                <w:color w:val="auto"/>
                <w:spacing w:val="-4"/>
                <w:sz w:val="24"/>
                <w:szCs w:val="24"/>
                <w:highlight w:val="none"/>
              </w:rPr>
              <w:t>中职学校所属教育行政部门处室签署意见并盖章）</w:t>
            </w:r>
          </w:p>
          <w:p>
            <w:pPr>
              <w:keepNext w:val="0"/>
              <w:keepLines w:val="0"/>
              <w:pageBreakBefore w:val="0"/>
              <w:widowControl/>
              <w:kinsoku/>
              <w:wordWrap/>
              <w:topLinePunct w:val="0"/>
              <w:bidi w:val="0"/>
              <w:spacing w:line="54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日期：</w:t>
            </w:r>
          </w:p>
          <w:p>
            <w:pPr>
              <w:pStyle w:val="2"/>
              <w:keepNext w:val="0"/>
              <w:keepLines w:val="0"/>
              <w:pageBreakBefore w:val="0"/>
              <w:kinsoku/>
              <w:wordWrap/>
              <w:topLinePunct w:val="0"/>
              <w:bidi w:val="0"/>
              <w:ind w:firstLine="0" w:firstLineChars="0"/>
              <w:rPr>
                <w:rFonts w:hint="eastAsia"/>
                <w:sz w:val="24"/>
                <w:szCs w:val="24"/>
              </w:rPr>
            </w:pPr>
          </w:p>
        </w:tc>
      </w:tr>
    </w:tbl>
    <w:p>
      <w:pPr>
        <w:pStyle w:val="2"/>
        <w:keepNext w:val="0"/>
        <w:keepLines w:val="0"/>
        <w:pageBreakBefore w:val="0"/>
        <w:kinsoku/>
        <w:topLinePunct w:val="0"/>
        <w:bidi w:val="0"/>
        <w:jc w:val="center"/>
        <w:rPr>
          <w:rFonts w:hint="eastAsia" w:ascii="黑体" w:hAnsi="黑体" w:eastAsia="黑体" w:cs="黑体"/>
          <w:b w:val="0"/>
          <w:bCs/>
          <w:snapToGrid/>
          <w:color w:val="auto"/>
          <w:kern w:val="2"/>
          <w:sz w:val="28"/>
          <w:szCs w:val="28"/>
          <w:lang w:val="en-US" w:eastAsia="zh-CN"/>
        </w:rPr>
        <w:sectPr>
          <w:footerReference r:id="rId8" w:type="default"/>
          <w:pgSz w:w="11906" w:h="16839"/>
          <w:pgMar w:top="1417" w:right="1304" w:bottom="1304" w:left="1701" w:header="0" w:footer="1134" w:gutter="0"/>
          <w:pgNumType w:fmt="numberInDash"/>
          <w:cols w:space="720" w:num="1"/>
        </w:sectPr>
      </w:pPr>
    </w:p>
    <w:p>
      <w:pPr>
        <w:pStyle w:val="20"/>
        <w:keepNext w:val="0"/>
        <w:keepLines w:val="0"/>
        <w:pageBreakBefore w:val="0"/>
        <w:kinsoku/>
        <w:topLinePunct w:val="0"/>
        <w:bidi w:val="0"/>
        <w:spacing w:line="560" w:lineRule="exact"/>
        <w:jc w:val="both"/>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rPr>
        <w:t>附件</w:t>
      </w:r>
      <w:r>
        <w:rPr>
          <w:rFonts w:hint="eastAsia" w:ascii="黑体" w:hAnsi="黑体" w:eastAsia="黑体" w:cs="黑体"/>
          <w:b w:val="0"/>
          <w:bCs/>
          <w:color w:val="auto"/>
          <w:spacing w:val="0"/>
          <w:sz w:val="32"/>
          <w:szCs w:val="32"/>
          <w:lang w:val="en-US" w:eastAsia="zh-CN"/>
        </w:rPr>
        <w:t>4</w:t>
      </w:r>
    </w:p>
    <w:p>
      <w:pPr>
        <w:pStyle w:val="20"/>
        <w:keepNext w:val="0"/>
        <w:keepLines w:val="0"/>
        <w:pageBreakBefore w:val="0"/>
        <w:kinsoku/>
        <w:topLinePunct w:val="0"/>
        <w:bidi w:val="0"/>
        <w:spacing w:line="560" w:lineRule="exact"/>
        <w:jc w:val="both"/>
        <w:rPr>
          <w:rFonts w:hint="eastAsia" w:ascii="黑体" w:hAnsi="黑体" w:eastAsia="黑体" w:cs="黑体"/>
          <w:b w:val="0"/>
          <w:bCs/>
          <w:color w:val="auto"/>
          <w:spacing w:val="0"/>
          <w:sz w:val="32"/>
          <w:szCs w:val="32"/>
          <w:lang w:eastAsia="zh-CN"/>
        </w:rPr>
      </w:pP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2024年福建省职业院校技能大赛教学能力比赛参赛汇总表</w:t>
      </w:r>
    </w:p>
    <w:p>
      <w:pPr>
        <w:pStyle w:val="3"/>
        <w:keepNext w:val="0"/>
        <w:keepLines w:val="0"/>
        <w:pageBreakBefore w:val="0"/>
        <w:widowControl/>
        <w:tabs>
          <w:tab w:val="left" w:pos="688"/>
        </w:tabs>
        <w:kinsoku/>
        <w:wordWrap/>
        <w:overflowPunct/>
        <w:topLinePunct w:val="0"/>
        <w:autoSpaceDE w:val="0"/>
        <w:autoSpaceDN w:val="0"/>
        <w:bidi w:val="0"/>
        <w:adjustRightInd w:val="0"/>
        <w:snapToGrid w:val="0"/>
        <w:spacing w:before="91" w:line="212" w:lineRule="auto"/>
        <w:jc w:val="left"/>
        <w:textAlignment w:val="baseline"/>
        <w:rPr>
          <w:rFonts w:hint="eastAsia" w:ascii="仿宋_GB2312" w:hAnsi="仿宋_GB2312" w:eastAsia="仿宋_GB2312" w:cs="仿宋_GB2312"/>
          <w:b w:val="0"/>
          <w:bCs/>
          <w:color w:val="auto"/>
          <w:sz w:val="28"/>
          <w:szCs w:val="32"/>
        </w:rPr>
      </w:pPr>
    </w:p>
    <w:p>
      <w:pPr>
        <w:pStyle w:val="3"/>
        <w:keepNext w:val="0"/>
        <w:keepLines w:val="0"/>
        <w:pageBreakBefore w:val="0"/>
        <w:widowControl/>
        <w:tabs>
          <w:tab w:val="left" w:pos="688"/>
        </w:tabs>
        <w:kinsoku/>
        <w:wordWrap/>
        <w:overflowPunct/>
        <w:topLinePunct w:val="0"/>
        <w:autoSpaceDE w:val="0"/>
        <w:autoSpaceDN w:val="0"/>
        <w:bidi w:val="0"/>
        <w:adjustRightInd w:val="0"/>
        <w:snapToGrid w:val="0"/>
        <w:spacing w:line="240" w:lineRule="auto"/>
        <w:ind w:firstLine="560" w:firstLineChars="200"/>
        <w:jc w:val="left"/>
        <w:textAlignment w:val="baseline"/>
        <w:rPr>
          <w:rFonts w:hint="default" w:ascii="仿宋_GB2312" w:hAnsi="仿宋_GB2312" w:eastAsia="仿宋_GB2312" w:cs="仿宋_GB2312"/>
          <w:b w:val="0"/>
          <w:bCs/>
          <w:color w:val="auto"/>
          <w:sz w:val="28"/>
          <w:szCs w:val="32"/>
          <w:u w:val="single"/>
          <w:lang w:val="en-US" w:eastAsia="zh-CN"/>
        </w:rPr>
      </w:pP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u w:val="single"/>
          <w:lang w:val="en-US" w:eastAsia="zh-CN"/>
        </w:rPr>
        <w:t xml:space="preserve">      </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rPr>
        <w:t>学校/市</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2043"/>
        <w:gridCol w:w="2287"/>
        <w:gridCol w:w="1245"/>
        <w:gridCol w:w="1840"/>
        <w:gridCol w:w="1840"/>
        <w:gridCol w:w="1245"/>
        <w:gridCol w:w="124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参赛</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分组</w:t>
            </w: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报名组别</w:t>
            </w: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所属公共基础课</w:t>
            </w:r>
            <w:r>
              <w:rPr>
                <w:rFonts w:hint="default" w:ascii="黑体" w:hAnsi="黑体" w:eastAsia="黑体" w:cs="黑体"/>
                <w:b w:val="0"/>
                <w:bCs/>
                <w:color w:val="auto"/>
                <w:sz w:val="28"/>
                <w:szCs w:val="28"/>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专业名称</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参赛</w:t>
            </w:r>
            <w:r>
              <w:rPr>
                <w:rFonts w:hint="eastAsia" w:ascii="黑体" w:hAnsi="黑体" w:eastAsia="黑体" w:cs="黑体"/>
                <w:b w:val="0"/>
                <w:bCs/>
                <w:color w:val="auto"/>
                <w:sz w:val="28"/>
                <w:szCs w:val="28"/>
              </w:rPr>
              <w:t>课程</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名称</w:t>
            </w: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参赛内容</w:t>
            </w:r>
            <w:r>
              <w:rPr>
                <w:rFonts w:hint="eastAsia" w:ascii="黑体" w:hAnsi="黑体" w:eastAsia="黑体" w:cs="黑体"/>
                <w:b w:val="0"/>
                <w:bCs/>
                <w:color w:val="auto"/>
                <w:sz w:val="28"/>
                <w:szCs w:val="28"/>
              </w:rPr>
              <w:t>名称</w:t>
            </w: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学校名称</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（规范全称）</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教学团队</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负责人</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教学团队</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人数</w:t>
            </w: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联系</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例：高职组</w:t>
            </w: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专业课程一组</w:t>
            </w: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旅游管理专业</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w:t>
            </w: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Xxxxxx</w:t>
            </w: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Xxxxx</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w:t>
            </w: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Xxxxxx</w:t>
            </w: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81"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735"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823"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662"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44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288" w:type="pct"/>
            <w:noWrap w:val="0"/>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bl>
    <w:p>
      <w:pPr>
        <w:pStyle w:val="20"/>
        <w:keepNext w:val="0"/>
        <w:keepLines w:val="0"/>
        <w:pageBreakBefore w:val="0"/>
        <w:kinsoku/>
        <w:topLinePunct w:val="0"/>
        <w:bidi w:val="0"/>
        <w:spacing w:line="560" w:lineRule="exact"/>
        <w:ind w:firstLine="560" w:firstLineChars="200"/>
        <w:jc w:val="both"/>
        <w:rPr>
          <w:rFonts w:hint="eastAsia" w:ascii="黑体" w:hAnsi="黑体" w:eastAsia="黑体" w:cs="黑体"/>
          <w:b w:val="0"/>
          <w:bCs/>
          <w:color w:val="auto"/>
          <w:spacing w:val="0"/>
          <w:sz w:val="32"/>
          <w:szCs w:val="32"/>
        </w:rPr>
        <w:sectPr>
          <w:pgSz w:w="16839" w:h="11906" w:orient="landscape"/>
          <w:pgMar w:top="1417" w:right="1304" w:bottom="1304" w:left="1701" w:header="0" w:footer="1134" w:gutter="0"/>
          <w:pgNumType w:fmt="numberInDash"/>
          <w:cols w:space="720" w:num="1"/>
        </w:sectPr>
      </w:pPr>
      <w:r>
        <w:rPr>
          <w:rFonts w:hint="eastAsia" w:ascii="仿宋_GB2312" w:hAnsi="仿宋_GB2312" w:eastAsia="仿宋_GB2312" w:cs="仿宋_GB2312"/>
          <w:b w:val="0"/>
          <w:bCs/>
          <w:color w:val="auto"/>
          <w:sz w:val="28"/>
          <w:szCs w:val="32"/>
        </w:rPr>
        <w:t>填表人</w:t>
      </w:r>
      <w:r>
        <w:rPr>
          <w:rFonts w:hint="eastAsia" w:ascii="仿宋_GB2312" w:hAnsi="仿宋_GB2312" w:eastAsia="仿宋_GB2312" w:cs="仿宋_GB2312"/>
          <w:b w:val="0"/>
          <w:bCs/>
          <w:color w:val="auto"/>
          <w:sz w:val="28"/>
          <w:szCs w:val="32"/>
          <w:u w:val="none"/>
        </w:rPr>
        <w:t>：</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rPr>
        <w:t>联系电话：</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rPr>
        <w:t>电子邮箱：</w:t>
      </w:r>
      <w:r>
        <w:rPr>
          <w:rFonts w:hint="eastAsia" w:ascii="仿宋_GB2312" w:hAnsi="仿宋_GB2312" w:eastAsia="仿宋_GB2312" w:cs="仿宋_GB2312"/>
          <w:b w:val="0"/>
          <w:bCs/>
          <w:color w:val="auto"/>
          <w:sz w:val="28"/>
          <w:szCs w:val="32"/>
          <w:u w:val="single"/>
        </w:rPr>
        <w:t xml:space="preserve">         </w:t>
      </w:r>
    </w:p>
    <w:p>
      <w:pPr>
        <w:pStyle w:val="3"/>
        <w:keepNext w:val="0"/>
        <w:keepLines w:val="0"/>
        <w:pageBreakBefore w:val="0"/>
        <w:tabs>
          <w:tab w:val="left" w:pos="688"/>
        </w:tabs>
        <w:kinsoku/>
        <w:wordWrap/>
        <w:overflowPunct/>
        <w:topLinePunct w:val="0"/>
        <w:bidi w:val="0"/>
        <w:spacing w:line="560" w:lineRule="atLeast"/>
        <w:ind w:left="0"/>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rPr>
        <w:t>附件</w:t>
      </w:r>
      <w:r>
        <w:rPr>
          <w:rFonts w:hint="eastAsia" w:ascii="黑体" w:hAnsi="黑体" w:eastAsia="黑体" w:cs="黑体"/>
          <w:b w:val="0"/>
          <w:bCs/>
          <w:color w:val="auto"/>
          <w:spacing w:val="0"/>
          <w:sz w:val="32"/>
          <w:szCs w:val="32"/>
          <w:lang w:val="en-US" w:eastAsia="zh-CN"/>
        </w:rPr>
        <w:t>5</w:t>
      </w:r>
    </w:p>
    <w:p>
      <w:pPr>
        <w:pStyle w:val="3"/>
        <w:keepNext w:val="0"/>
        <w:keepLines w:val="0"/>
        <w:pageBreakBefore w:val="0"/>
        <w:tabs>
          <w:tab w:val="left" w:pos="688"/>
        </w:tabs>
        <w:kinsoku/>
        <w:wordWrap/>
        <w:overflowPunct/>
        <w:topLinePunct w:val="0"/>
        <w:bidi w:val="0"/>
        <w:spacing w:line="560" w:lineRule="atLeast"/>
        <w:ind w:left="0"/>
        <w:rPr>
          <w:rFonts w:hint="eastAsia" w:ascii="黑体" w:hAnsi="黑体" w:eastAsia="黑体" w:cs="黑体"/>
          <w:b w:val="0"/>
          <w:bCs/>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left="0"/>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w:t>
      </w:r>
    </w:p>
    <w:p>
      <w:pPr>
        <w:keepNext w:val="0"/>
        <w:keepLines w:val="0"/>
        <w:pageBreakBefore w:val="0"/>
        <w:widowControl w:val="0"/>
        <w:kinsoku/>
        <w:wordWrap/>
        <w:overflowPunct/>
        <w:topLinePunct w:val="0"/>
        <w:autoSpaceDE/>
        <w:autoSpaceDN/>
        <w:bidi w:val="0"/>
        <w:adjustRightInd/>
        <w:snapToGrid/>
        <w:spacing w:line="560" w:lineRule="atLeast"/>
        <w:ind w:left="0"/>
        <w:jc w:val="center"/>
        <w:textAlignment w:val="auto"/>
        <w:rPr>
          <w:rFonts w:hint="eastAsia" w:ascii="黑体" w:hAnsi="黑体" w:eastAsia="黑体" w:cs="黑体"/>
          <w:b w:val="0"/>
          <w:bCs/>
          <w:color w:val="auto"/>
          <w:spacing w:val="0"/>
          <w:sz w:val="32"/>
          <w:szCs w:val="32"/>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比赛情况统计表</w:t>
      </w:r>
    </w:p>
    <w:p>
      <w:pPr>
        <w:pStyle w:val="3"/>
        <w:keepNext w:val="0"/>
        <w:keepLines w:val="0"/>
        <w:pageBreakBefore w:val="0"/>
        <w:tabs>
          <w:tab w:val="left" w:pos="688"/>
        </w:tabs>
        <w:kinsoku/>
        <w:wordWrap/>
        <w:overflowPunct/>
        <w:topLinePunct w:val="0"/>
        <w:bidi w:val="0"/>
        <w:spacing w:line="560" w:lineRule="atLeast"/>
        <w:ind w:left="0"/>
        <w:rPr>
          <w:rFonts w:hint="eastAsia" w:ascii="黑体" w:hAnsi="黑体" w:eastAsia="黑体" w:cs="黑体"/>
          <w:b w:val="0"/>
          <w:bCs/>
          <w:color w:val="auto"/>
          <w:spacing w:val="0"/>
          <w:sz w:val="32"/>
          <w:szCs w:val="32"/>
          <w:lang w:val="en-US" w:eastAsia="zh-CN"/>
        </w:rPr>
      </w:pPr>
    </w:p>
    <w:p>
      <w:pPr>
        <w:pStyle w:val="3"/>
        <w:keepNext w:val="0"/>
        <w:keepLines w:val="0"/>
        <w:pageBreakBefore w:val="0"/>
        <w:tabs>
          <w:tab w:val="left" w:pos="688"/>
        </w:tabs>
        <w:kinsoku/>
        <w:wordWrap/>
        <w:overflowPunct/>
        <w:topLinePunct w:val="0"/>
        <w:bidi w:val="0"/>
        <w:spacing w:line="560" w:lineRule="atLeast"/>
        <w:ind w:left="0"/>
        <w:rPr>
          <w:rFonts w:hint="default" w:ascii="仿宋_GB2312" w:hAnsi="仿宋_GB2312" w:eastAsia="仿宋_GB2312" w:cs="仿宋_GB2312"/>
          <w:b w:val="0"/>
          <w:bCs/>
          <w:color w:val="auto"/>
          <w:sz w:val="28"/>
          <w:szCs w:val="32"/>
          <w:u w:val="single"/>
          <w:lang w:val="en-US" w:eastAsia="zh-CN"/>
        </w:rPr>
      </w:pP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u w:val="single"/>
          <w:lang w:val="en-US" w:eastAsia="zh-CN"/>
        </w:rPr>
        <w:t xml:space="preserve">       </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rPr>
        <w:t>学校/市  联系人</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rPr>
        <w:t>电话</w:t>
      </w:r>
      <w:r>
        <w:rPr>
          <w:rFonts w:hint="eastAsia" w:ascii="仿宋_GB2312" w:hAnsi="仿宋_GB2312" w:eastAsia="仿宋_GB2312" w:cs="仿宋_GB2312"/>
          <w:b w:val="0"/>
          <w:bCs/>
          <w:color w:val="auto"/>
          <w:sz w:val="28"/>
          <w:szCs w:val="32"/>
          <w:u w:val="single"/>
        </w:rPr>
        <w:t xml:space="preserve">    </w:t>
      </w:r>
      <w:r>
        <w:rPr>
          <w:rFonts w:hint="eastAsia" w:ascii="仿宋_GB2312" w:hAnsi="仿宋_GB2312" w:eastAsia="仿宋_GB2312" w:cs="仿宋_GB2312"/>
          <w:b w:val="0"/>
          <w:bCs/>
          <w:color w:val="auto"/>
          <w:sz w:val="28"/>
          <w:szCs w:val="32"/>
          <w:u w:val="single"/>
          <w:lang w:val="en-US" w:eastAsia="zh-CN"/>
        </w:rPr>
        <w:t xml:space="preserve">  </w:t>
      </w:r>
      <w:r>
        <w:rPr>
          <w:rFonts w:hint="eastAsia" w:ascii="仿宋_GB2312" w:hAnsi="仿宋_GB2312" w:eastAsia="仿宋_GB2312" w:cs="仿宋_GB2312"/>
          <w:b w:val="0"/>
          <w:bCs/>
          <w:color w:val="auto"/>
          <w:sz w:val="28"/>
          <w:szCs w:val="32"/>
          <w:u w:val="single"/>
        </w:rPr>
        <w:t xml:space="preserve">    </w:t>
      </w:r>
    </w:p>
    <w:p>
      <w:pPr>
        <w:keepNext w:val="0"/>
        <w:keepLines w:val="0"/>
        <w:pageBreakBefore w:val="0"/>
        <w:kinsoku/>
        <w:topLinePunct w:val="0"/>
        <w:bidi w:val="0"/>
        <w:rPr>
          <w:rFonts w:hint="eastAsia"/>
          <w:b w:val="0"/>
          <w:bCs/>
        </w:rPr>
      </w:pP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2659"/>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项目</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市级教育行政部门</w:t>
            </w:r>
          </w:p>
        </w:tc>
        <w:tc>
          <w:tcPr>
            <w:tcW w:w="1891"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高职院校/省属中职学校</w:t>
            </w:r>
          </w:p>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/有关本科院校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本市学校数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tcBorders>
              <w:tl2br w:val="single" w:color="auto" w:sz="4" w:space="0"/>
              <w:tr2bl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开展校级比赛学校数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tcBorders>
              <w:tl2br w:val="single" w:color="auto" w:sz="4" w:space="0"/>
              <w:tr2bl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校级比赛作品总数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校级比赛参赛教师数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市级比赛作品总数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tcBorders>
              <w:tl2br w:val="single" w:color="auto" w:sz="4" w:space="0"/>
              <w:tr2bl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市级比赛参赛教师数</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tcBorders>
              <w:tl2br w:val="single" w:color="auto" w:sz="4" w:space="0"/>
              <w:tr2bl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市级比赛时间</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（填校级比赛时间）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1648"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市级比赛地点</w:t>
            </w:r>
          </w:p>
        </w:tc>
        <w:tc>
          <w:tcPr>
            <w:tcW w:w="1459"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8"/>
                <w:szCs w:val="28"/>
              </w:rPr>
            </w:pPr>
          </w:p>
        </w:tc>
        <w:tc>
          <w:tcPr>
            <w:tcW w:w="1891" w:type="pct"/>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contextualSpacing/>
              <w:jc w:val="center"/>
              <w:textAlignment w:val="baseline"/>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（填校级比赛地点）</w:t>
            </w:r>
          </w:p>
        </w:tc>
      </w:tr>
    </w:tbl>
    <w:p>
      <w:pPr>
        <w:pStyle w:val="2"/>
        <w:keepNext w:val="0"/>
        <w:keepLines w:val="0"/>
        <w:pageBreakBefore w:val="0"/>
        <w:kinsoku/>
        <w:topLinePunct w:val="0"/>
        <w:bidi w:val="0"/>
        <w:rPr>
          <w:rFonts w:hint="eastAsia" w:eastAsia="宋体"/>
          <w:b w:val="0"/>
          <w:bCs/>
          <w:lang w:eastAsia="zh-CN"/>
        </w:rPr>
      </w:pPr>
    </w:p>
    <w:p>
      <w:pPr>
        <w:keepNext w:val="0"/>
        <w:keepLines w:val="0"/>
        <w:pageBreakBefore w:val="0"/>
        <w:kinsoku/>
        <w:topLinePunct w:val="0"/>
        <w:bidi w:val="0"/>
        <w:spacing w:line="219" w:lineRule="auto"/>
        <w:rPr>
          <w:rFonts w:ascii="宋体" w:hAnsi="宋体" w:eastAsia="宋体" w:cs="宋体"/>
          <w:b w:val="0"/>
          <w:bCs/>
          <w:sz w:val="18"/>
          <w:szCs w:val="18"/>
        </w:rPr>
        <w:sectPr>
          <w:footerReference r:id="rId9" w:type="default"/>
          <w:pgSz w:w="11906" w:h="16839"/>
          <w:pgMar w:top="1417" w:right="1304" w:bottom="1304" w:left="1701" w:header="0" w:footer="1134" w:gutter="0"/>
          <w:pgNumType w:fmt="numberInDash"/>
          <w:cols w:space="720" w:num="1"/>
        </w:sectPr>
      </w:pPr>
    </w:p>
    <w:p>
      <w:pPr>
        <w:pStyle w:val="20"/>
        <w:keepNext w:val="0"/>
        <w:keepLines w:val="0"/>
        <w:pageBreakBefore w:val="0"/>
        <w:kinsoku/>
        <w:wordWrap/>
        <w:overflowPunct/>
        <w:topLinePunct w:val="0"/>
        <w:bidi w:val="0"/>
        <w:spacing w:line="560" w:lineRule="exact"/>
        <w:jc w:val="both"/>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rPr>
        <w:t>附件</w:t>
      </w:r>
      <w:r>
        <w:rPr>
          <w:rFonts w:hint="eastAsia" w:ascii="黑体" w:hAnsi="黑体" w:eastAsia="黑体" w:cs="黑体"/>
          <w:b w:val="0"/>
          <w:bCs/>
          <w:color w:val="auto"/>
          <w:spacing w:val="0"/>
          <w:sz w:val="32"/>
          <w:szCs w:val="32"/>
          <w:lang w:val="en-US" w:eastAsia="zh-CN"/>
        </w:rPr>
        <w:t>6</w:t>
      </w:r>
    </w:p>
    <w:p>
      <w:pPr>
        <w:pStyle w:val="20"/>
        <w:keepNext w:val="0"/>
        <w:keepLines w:val="0"/>
        <w:pageBreakBefore w:val="0"/>
        <w:kinsoku/>
        <w:wordWrap/>
        <w:overflowPunct/>
        <w:topLinePunct w:val="0"/>
        <w:bidi w:val="0"/>
        <w:spacing w:line="560" w:lineRule="exact"/>
        <w:jc w:val="both"/>
        <w:rPr>
          <w:rFonts w:hint="eastAsia" w:ascii="黑体" w:hAnsi="黑体" w:eastAsia="黑体" w:cs="黑体"/>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2024年福建省职业院校技能大赛教学能力比赛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评分指标（初赛）</w:t>
      </w:r>
    </w:p>
    <w:p>
      <w:pPr>
        <w:keepNext w:val="0"/>
        <w:keepLines w:val="0"/>
        <w:pageBreakBefore w:val="0"/>
        <w:widowControl/>
        <w:suppressLineNumbers w:val="0"/>
        <w:kinsoku/>
        <w:wordWrap/>
        <w:overflowPunct/>
        <w:topLinePunct w:val="0"/>
        <w:bidi w:val="0"/>
        <w:spacing w:line="560" w:lineRule="exact"/>
        <w:jc w:val="left"/>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7"/>
        <w:gridCol w:w="729"/>
        <w:gridCol w:w="2150"/>
        <w:gridCol w:w="9150"/>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blHeader/>
        </w:trPr>
        <w:tc>
          <w:tcPr>
            <w:tcW w:w="0" w:type="auto"/>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snapToGrid w:val="0"/>
                <w:color w:val="000000"/>
                <w:kern w:val="0"/>
                <w:sz w:val="24"/>
                <w:szCs w:val="24"/>
                <w:u w:val="none"/>
                <w:lang w:val="en-US" w:eastAsia="zh-CN" w:bidi="ar"/>
              </w:rPr>
              <w:t>评价维度</w:t>
            </w:r>
          </w:p>
        </w:tc>
        <w:tc>
          <w:tcPr>
            <w:tcW w:w="72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snapToGrid w:val="0"/>
                <w:color w:val="000000"/>
                <w:kern w:val="0"/>
                <w:sz w:val="24"/>
                <w:szCs w:val="24"/>
                <w:u w:val="none"/>
                <w:lang w:val="en-US" w:eastAsia="zh-CN" w:bidi="ar"/>
              </w:rPr>
              <w:t>分值</w:t>
            </w:r>
          </w:p>
        </w:tc>
        <w:tc>
          <w:tcPr>
            <w:tcW w:w="21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snapToGrid w:val="0"/>
                <w:color w:val="000000"/>
                <w:kern w:val="0"/>
                <w:sz w:val="24"/>
                <w:szCs w:val="24"/>
                <w:u w:val="none"/>
                <w:lang w:val="en-US" w:eastAsia="zh-CN" w:bidi="ar"/>
              </w:rPr>
              <w:t>评价指标</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snapToGrid w:val="0"/>
                <w:color w:val="000000"/>
                <w:kern w:val="0"/>
                <w:sz w:val="24"/>
                <w:szCs w:val="24"/>
                <w:u w:val="none"/>
                <w:lang w:val="en-US" w:eastAsia="zh-CN" w:bidi="ar"/>
              </w:rPr>
              <w:t>评价要点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snapToGrid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教学实施报告</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1.教学理念先进，教学设计科学合理</w:t>
            </w:r>
          </w:p>
        </w:tc>
        <w:tc>
          <w:tcPr>
            <w:tcW w:w="91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1.教育思想和教学理念先进，落实立德树人、德技并修、工学结合，遵循职业教育规律、学生认知规律和技术技能人才成长规律，反映日常教学实际。</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2.课程结构以及参赛模块表述清晰，符合层次定位；课程模块化设计、教学模式与策略设计科学合理。</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2.教学实施以生为本，落实教学设计，教学有创新</w:t>
            </w:r>
          </w:p>
        </w:tc>
        <w:tc>
          <w:tcPr>
            <w:tcW w:w="91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按照教学设计实施教学，关注突出教学重点、突破教学难点，针对学习和实践反馈及时调整教学，突出学生中心，实行因材施教；专业课程要落实理实一体化，强调知行合一；针对不同生源特点，体现灵活的教学组织形式。</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4.教学策略有效、教学组织有序、教学环境真实、教学资源有用、教学互动深入、教学气氛生动，学生学有所得，全面关注教师教与学生学的行为。</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5.在落实国家教学标准、推进“三教”改革、以生为本、课程思政、教学内容、教学组织、教法学法、技术应用、教学评价等方面有所创新，具有较大借鉴和推广价值。</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3.学生学习效果突出，与教学内容、活动关联性强</w:t>
            </w:r>
          </w:p>
        </w:tc>
        <w:tc>
          <w:tcPr>
            <w:tcW w:w="91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6.关注学生学习行为的数据采集，围绕教学目标全面评价学生的整体学习状态及个体发展水平，反映学生核心素养或思想政治素质、职业综合素养的发展与提升情况。</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7.学生学习成效应与学情分析、教学目标、教学策略、教学实施、教学评价紧密关联，真实有据。</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4.教学反思深刻，改进举措针对性强、扎实有效</w:t>
            </w:r>
          </w:p>
        </w:tc>
        <w:tc>
          <w:tcPr>
            <w:tcW w:w="91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8.总结在更新教育理念、落实课程思政、优化教学内容、创新教学模式、转变教师角色、改进教学评价、运用信息技术、培育数字素养等方面的改革与创新。深入思考在教学设计、教学实施、教学评价过程中的不足，改进措施针对性强，切实可行、行之有效。</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5.报告系统性强，行文规范、逻辑严谨、符合实际</w:t>
            </w:r>
          </w:p>
        </w:tc>
        <w:tc>
          <w:tcPr>
            <w:tcW w:w="91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9.全面真实、结构清晰、语言精练、逻辑严谨、有理有据、详略得当，充分体现教学团队对日常教学的学术研究和实践探索。</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10.符合字数、图片要求。报告内容与其它文档材料、视频资料内容高度一致，关联紧密，不虚夸。</w:t>
            </w:r>
          </w:p>
        </w:tc>
        <w:tc>
          <w:tcPr>
            <w:tcW w:w="713"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topLinePunct w:val="0"/>
              <w:bidi w:val="0"/>
              <w:jc w:val="center"/>
              <w:rPr>
                <w:rFonts w:hint="default" w:ascii="仿宋_GB2312" w:hAnsi="宋体" w:eastAsia="仿宋_GB2312" w:cs="仿宋_GB2312"/>
                <w:b w:val="0"/>
                <w:bCs/>
                <w:i w:val="0"/>
                <w:iCs w:val="0"/>
                <w:color w:val="000000"/>
                <w:sz w:val="24"/>
                <w:szCs w:val="24"/>
                <w:u w:val="none"/>
                <w:lang w:val="en-US" w:eastAsia="zh-CN"/>
              </w:rPr>
            </w:pPr>
            <w:r>
              <w:rPr>
                <w:rFonts w:hint="eastAsia" w:ascii="仿宋_GB2312" w:hAnsi="宋体" w:eastAsia="仿宋_GB2312" w:cs="仿宋_GB2312"/>
                <w:b w:val="0"/>
                <w:bCs/>
                <w:i w:val="0"/>
                <w:iCs w:val="0"/>
                <w:color w:val="000000"/>
                <w:sz w:val="24"/>
                <w:szCs w:val="24"/>
                <w:u w:val="none"/>
                <w:lang w:val="en-US" w:eastAsia="zh-CN"/>
              </w:rPr>
              <w:t>教案</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default" w:ascii="仿宋_GB2312" w:hAnsi="宋体" w:eastAsia="仿宋_GB2312" w:cs="仿宋_GB2312"/>
                <w:b w:val="0"/>
                <w:bCs/>
                <w:i w:val="0"/>
                <w:iCs w:val="0"/>
                <w:color w:val="000000"/>
                <w:sz w:val="24"/>
                <w:szCs w:val="24"/>
                <w:u w:val="none"/>
                <w:lang w:val="en-US" w:eastAsia="zh-CN"/>
              </w:rPr>
            </w:pPr>
            <w:r>
              <w:rPr>
                <w:rFonts w:hint="eastAsia" w:ascii="仿宋_GB2312" w:hAnsi="宋体" w:eastAsia="仿宋_GB2312" w:cs="仿宋_GB2312"/>
                <w:b w:val="0"/>
                <w:bCs/>
                <w:i w:val="0"/>
                <w:iCs w:val="0"/>
                <w:color w:val="000000"/>
                <w:sz w:val="24"/>
                <w:szCs w:val="24"/>
                <w:u w:val="none"/>
                <w:lang w:val="en-US" w:eastAsia="zh-CN"/>
              </w:rPr>
              <w:t>20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1.教学要素完整，版式规范，详略得当</w:t>
            </w:r>
          </w:p>
        </w:tc>
        <w:tc>
          <w:tcPr>
            <w:tcW w:w="9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1.每份教案的任务目标、学时、授课时间与课程标准（某班的授课计划表）相一致，教学基本要素完整、简明，侧重体现具体教学内容及处理、教学活动及安排，详略得当。</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2.若干课次的几份教案之间关联、衔接、有差异。教案与课程标准、视频资料关联紧密，高度一致。</w:t>
            </w:r>
          </w:p>
        </w:tc>
        <w:tc>
          <w:tcPr>
            <w:tcW w:w="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2.课程思政系统设计，有机融入，培养学生的职业综合素养</w:t>
            </w:r>
          </w:p>
        </w:tc>
        <w:tc>
          <w:tcPr>
            <w:tcW w:w="9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落实思政课程与课程思政同向同行，联系时代发展和社会生活，结合课程特点、思维方法和价值理念，挖掘提炼专业知识体系中所蕴含的思想价值和精神内涵，有机融入课程教学，融入劳动教育、美育内容，培养学生科学精神、工匠精神、文化素质、创新意识、数字素养和终身学习能力。</w:t>
            </w:r>
          </w:p>
        </w:tc>
        <w:tc>
          <w:tcPr>
            <w:tcW w:w="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3.学情分析精准聚焦，教学目标可评可测</w:t>
            </w:r>
          </w:p>
        </w:tc>
        <w:tc>
          <w:tcPr>
            <w:tcW w:w="9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每份专业课教案客观分析学生的知识和技能基础、认知和实践能力、学习特点等，公共基础课分析学生的知识基础、认知能力、学习特点和专业特性，以信息手段和数据支撑详实反映学生整体情况与个体差异，准确预判教学难点。</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5.教学目标具体清晰、相互关联、逐渐递进、重点突出、可评可测。</w:t>
            </w:r>
          </w:p>
        </w:tc>
        <w:tc>
          <w:tcPr>
            <w:tcW w:w="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4.教学内容科学严谨，教学策略运用恰当</w:t>
            </w:r>
          </w:p>
        </w:tc>
        <w:tc>
          <w:tcPr>
            <w:tcW w:w="9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6.教学内容对接新方法、新技术、新工艺、新标准，落实书证融通，有效支撑教学目标实现，内容选择科学严谨、容量适度，安排合理、衔接有序、结构清晰，凸显职业教育类型特色；实习实训内容与专业课程教学内容匹配，强化核心技术技能训练。</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7.教学设计科学合理，教学过程系统优化，流程环节构思得当，技术应用预想合理，方法手段设计恰当，评价考核科学有效，突出项目式、任务式、案例式、情境化教学方式。</w:t>
            </w:r>
          </w:p>
        </w:tc>
        <w:tc>
          <w:tcPr>
            <w:tcW w:w="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5.教学评价科学合理，课后反思真实深刻</w:t>
            </w:r>
          </w:p>
        </w:tc>
        <w:tc>
          <w:tcPr>
            <w:tcW w:w="9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8.关注教与学行为数据采集，针对目标要求开展教学与实践的考核与评价，应与前序的学情分析和后续的学习成效紧密关联。</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9.每个教案的课后反思聚焦本次教学的授课实效、改革创新进行总结，针对不足的改进措施科学有效，并在下一次教学过程中得到落实，前后关联。</w:t>
            </w:r>
          </w:p>
        </w:tc>
        <w:tc>
          <w:tcPr>
            <w:tcW w:w="71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视频资料</w:t>
            </w:r>
          </w:p>
        </w:tc>
        <w:tc>
          <w:tcPr>
            <w:tcW w:w="729"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40</w:t>
            </w:r>
          </w:p>
        </w:tc>
        <w:tc>
          <w:tcPr>
            <w:tcW w:w="21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1.坚持立德树人，德技并修</w:t>
            </w:r>
          </w:p>
        </w:tc>
        <w:tc>
          <w:tcPr>
            <w:tcW w:w="91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1.落实立德树人、德技并修，做到知行合一。结合课程特点挖掘思政元素，强调有机融入课程教学，达到润物无声的育人效果。</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2.凸显职业教育类型特色，体现以生为本</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2.依据教案开展教学，课堂教学展示符合教案中相应环节的教学内容、教学活动和考核评价，凸显职业教育类型特色。</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3.教学内容清晰准确，教学活动安排合理，教学过程突出学生中心，体现先进教育思想和教学理念，遵循学生认知规律，有效解决学生遇到的问题。</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3.课堂教学质量高、效果好，反映师生真实教学状态</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4.教学过程系统优化，流程环节构思得当，课堂教学活动设计合理、逻辑清晰，重难点突出，课堂气氛活跃、学生积极参与，教师能说会做善导，学生乐学、学会，有效达成教学目标。</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5.课堂教学展示呈现真实教学，教学场所真实朴实，师生服装符合日常教学状态，不刻意统一师生服装。</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6.视频呈现全班学生上课，学生人数与班级建制（或分班教学）一致，包含线上、线下学习的学生，分班教学在教案中能够找到相关说明。</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7.专业课程二组作品至少有两段视频包含教师实操演示与教学指导。</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8.视频画面稳定，光线适当，声音洪亮，图像与声音同步，无后期剪辑。视频画面中无拍摄人员在场，教学场景真实，无刻意统一服装、明显摆拍表演等现象。视频文件命名符合规定。</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4.数字技术与教学方式方法运用恰当，体现深度学习</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9.教学环境满足需求，教法学法运用恰当，数字技术运用适当，教学资源、设施设备提高教学与管理成效。</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10.重视对学生素养的培育，促进学生全面发展。评价考核科学有效，体现过程性信息采集与评价。</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11.注重教学重难点和课堂生成性问题的解决，引导学生分析解决实际问题，教学互动深入有效，充分调动学生全面深度参与，给学生深刻的学习体验。</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5.展示教师良好综合素养，展现团队优势</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12.教师课堂教学态度认真、严谨规范、表述清晰、亲和力强、仪态自然，实训教学讲解和操作配合恰当，规范娴熟、示范有效，符合职业岗位要求，展现良好“双师”素养和团队优势、各有特色。</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专业人才培养方案</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8</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1.符合最新文件要求，科学规范制定</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符合《教育部关于职业院校专业人才培养方案制订与实施工作的指导意见》（教职成司函〔2019〕13号）《关于组织做好职业院校专业人才培养方案制订与实施工作的通知》（教职成司函〔2019〕61号）《教育部关于印发&lt;职业教育专业目录（2021年）&gt;的通知》（教职成〔2021〕2号）和职业教育专业简介（2022年修订）明确的相关要求。</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2.落实部颁专业教学标准、专业实训条件建设标准、岗位实习标准；中职开足开齐公共基础课，按照《新时代学校思想政治理论课改革创新实施方案》（教材〔2020〕6号）的有关要求开设思政选修课程。</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2.坚持全面发展，体现培养特色，文本规范严谨</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3.紧密联系生产劳动实际和社会实践，突出应用性和实践性，注重学生职业能力和职业精神的培养。</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4.坚持职业教育类型特征，体现学校专业建设改革实践成果，课程内容及要求明确完整，教学进程安排合理，实施保障条件充分。</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3.体现优化改进，明确多方参与</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5.对应新经济、新技术、新业态、新职业，落实专业升级和数字化转型、绿色化改造，根据专业内涵变化进行必要的调整更新。</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6.行业企业、第三方评价机构等多方参与制订专业人才培养方案。</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课程标准（或实施方案）</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8</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1.落实职业教育国家教学标准</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1.公共基础课执行部颁课程标准；专业课贯彻职业教育专业教学标准和实训条件建设标准、岗位实习标准。</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2.条目齐全完备，科学规范</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2.主要条目齐全、完备，并附上一学年度某班授课计划表。</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3.参赛内容为课程标准中的模块、单元、专题、项目或任务，符合连续完整、最少学时的要求，班级的授课计划表与课程标准的授课进程与安排相一致。</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3.具有时代特色，体现（学科）技术领域发展</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4.课程教学目标源于专业人才培养方案，表述清晰、与时俱进。</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5.按照一定逻辑建构课程模块，教学内容及要求表述完整。</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6.落实《深化新时代教育评价改革总体方案》相关要求，考核评价科学合理。</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教材选用说明</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4</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1.符合国家关于教材使用相关规定和要求</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1.教材选用符合《职业院校教材管理办法》等国家有关规定和要求，配套提供丰富、优质学习资源，鼓励使用新型活页式、工作手册式教材。</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topLinePunct w:val="0"/>
              <w:bidi w:val="0"/>
              <w:jc w:val="center"/>
              <w:rPr>
                <w:rFonts w:hint="eastAsia" w:ascii="仿宋_GB2312" w:hAnsi="宋体" w:eastAsia="仿宋_GB2312" w:cs="仿宋_GB2312"/>
                <w:b w:val="0"/>
                <w:bCs/>
                <w:i w:val="0"/>
                <w:iCs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2.明确选用制度与机制及执行情况</w:t>
            </w:r>
          </w:p>
        </w:tc>
        <w:tc>
          <w:tcPr>
            <w:tcW w:w="9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left"/>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2.明确本校教材选用组织机构及职责，选用程序及要求。</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3.对参赛课程教材选用过程进行说明，提供参赛课程教学选用教材结果公示及备案情况。</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4.提供参赛课程教材使用及核查情况（遵照选用结果使用教材情况）。</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2</w:t>
            </w:r>
          </w:p>
        </w:tc>
      </w:tr>
    </w:tbl>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p>
    <w:p>
      <w:pPr>
        <w:keepNext w:val="0"/>
        <w:keepLines w:val="0"/>
        <w:pageBreakBefore w:val="0"/>
        <w:kinsoku/>
        <w:topLinePunct w:val="0"/>
        <w:bidi w:val="0"/>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br w:type="page"/>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2024年福建省职业院校技能大赛教学能力比赛</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评分指标（决赛）</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p>
    <w:tbl>
      <w:tblPr>
        <w:tblStyle w:val="1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81"/>
        <w:gridCol w:w="781"/>
        <w:gridCol w:w="2152"/>
        <w:gridCol w:w="9128"/>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4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ascii="黑体" w:hAnsi="宋体" w:eastAsia="黑体" w:cs="黑体"/>
                <w:b w:val="0"/>
                <w:bCs/>
                <w:i w:val="0"/>
                <w:iCs w:val="0"/>
                <w:color w:val="000000"/>
                <w:sz w:val="24"/>
                <w:szCs w:val="24"/>
                <w:u w:val="none"/>
              </w:rPr>
            </w:pPr>
            <w:r>
              <w:rPr>
                <w:rStyle w:val="22"/>
                <w:b w:val="0"/>
                <w:bCs/>
                <w:snapToGrid w:val="0"/>
                <w:color w:val="000000"/>
                <w:lang w:val="en-US" w:eastAsia="zh-CN" w:bidi="ar"/>
              </w:rPr>
              <w:t>评分维度</w:t>
            </w:r>
          </w:p>
        </w:tc>
        <w:tc>
          <w:tcPr>
            <w:tcW w:w="2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宋体" w:eastAsia="黑体" w:cs="黑体"/>
                <w:b w:val="0"/>
                <w:bCs/>
                <w:i w:val="0"/>
                <w:iCs w:val="0"/>
                <w:color w:val="000000"/>
                <w:sz w:val="24"/>
                <w:szCs w:val="24"/>
                <w:u w:val="none"/>
              </w:rPr>
            </w:pPr>
            <w:r>
              <w:rPr>
                <w:rStyle w:val="22"/>
                <w:b w:val="0"/>
                <w:bCs/>
                <w:snapToGrid w:val="0"/>
                <w:color w:val="000000"/>
                <w:lang w:val="en-US" w:eastAsia="zh-CN" w:bidi="ar"/>
              </w:rPr>
              <w:t>分值</w:t>
            </w:r>
          </w:p>
        </w:tc>
        <w:tc>
          <w:tcPr>
            <w:tcW w:w="7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宋体" w:eastAsia="黑体" w:cs="黑体"/>
                <w:b w:val="0"/>
                <w:bCs/>
                <w:i w:val="0"/>
                <w:iCs w:val="0"/>
                <w:color w:val="000000"/>
                <w:sz w:val="24"/>
                <w:szCs w:val="24"/>
                <w:u w:val="none"/>
              </w:rPr>
            </w:pPr>
            <w:r>
              <w:rPr>
                <w:rStyle w:val="22"/>
                <w:b w:val="0"/>
                <w:bCs/>
                <w:snapToGrid w:val="0"/>
                <w:color w:val="000000"/>
                <w:lang w:val="en-US" w:eastAsia="zh-CN" w:bidi="ar"/>
              </w:rPr>
              <w:t>评价指标</w:t>
            </w:r>
          </w:p>
        </w:tc>
        <w:tc>
          <w:tcPr>
            <w:tcW w:w="32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宋体" w:eastAsia="黑体" w:cs="黑体"/>
                <w:b w:val="0"/>
                <w:bCs/>
                <w:i w:val="0"/>
                <w:iCs w:val="0"/>
                <w:color w:val="000000"/>
                <w:sz w:val="24"/>
                <w:szCs w:val="24"/>
                <w:u w:val="none"/>
              </w:rPr>
            </w:pPr>
            <w:r>
              <w:rPr>
                <w:rStyle w:val="22"/>
                <w:b w:val="0"/>
                <w:bCs/>
                <w:snapToGrid w:val="0"/>
                <w:color w:val="000000"/>
                <w:lang w:val="en-US" w:eastAsia="zh-CN" w:bidi="ar"/>
              </w:rPr>
              <w:t>评价要点</w:t>
            </w:r>
          </w:p>
        </w:tc>
        <w:tc>
          <w:tcPr>
            <w:tcW w:w="2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黑体" w:hAnsi="宋体" w:eastAsia="黑体" w:cs="黑体"/>
                <w:b w:val="0"/>
                <w:bCs/>
                <w:i w:val="0"/>
                <w:iCs w:val="0"/>
                <w:color w:val="000000"/>
                <w:sz w:val="24"/>
                <w:szCs w:val="24"/>
                <w:u w:val="none"/>
              </w:rPr>
            </w:pPr>
            <w:r>
              <w:rPr>
                <w:rStyle w:val="22"/>
                <w:b w:val="0"/>
                <w:bCs/>
                <w:snapToGrid w:val="0"/>
                <w:color w:val="000000"/>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456"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教学实施报告汇报</w:t>
            </w:r>
          </w:p>
        </w:tc>
        <w:tc>
          <w:tcPr>
            <w:tcW w:w="278"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25</w:t>
            </w:r>
          </w:p>
        </w:tc>
        <w:tc>
          <w:tcPr>
            <w:tcW w:w="766"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1.特色鲜明、成效显著</w:t>
            </w:r>
          </w:p>
        </w:tc>
        <w:tc>
          <w:tcPr>
            <w:tcW w:w="324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1.报告介绍突出重点和特色，体现创新举措和具体成效，反思深刻，特色创新具有较大借鉴和推广价值，充分体现参赛团队日常教学中的学术研究和实践探索。</w:t>
            </w:r>
          </w:p>
        </w:tc>
        <w:tc>
          <w:tcPr>
            <w:tcW w:w="24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2.清晰严谨、重点突出</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2.</w:t>
            </w:r>
            <w:r>
              <w:rPr>
                <w:rFonts w:hint="eastAsia" w:ascii="仿宋_GB2312" w:hAnsi="宋体" w:eastAsia="仿宋_GB2312" w:cs="仿宋_GB2312"/>
                <w:b w:val="0"/>
                <w:bCs/>
                <w:i w:val="0"/>
                <w:iCs w:val="0"/>
                <w:snapToGrid w:val="0"/>
                <w:color w:val="000000"/>
                <w:kern w:val="0"/>
                <w:sz w:val="24"/>
                <w:szCs w:val="24"/>
                <w:u w:val="none"/>
                <w:lang w:val="en-US" w:eastAsia="zh-CN" w:bidi="ar"/>
              </w:rPr>
              <w:t>报告介绍语言简练、表述清晰、逻辑严谨、详略得当，教态自然，体现教师的基本素养。</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3.报告介绍与初赛提交的文档材料、视频资料和决赛课堂教学展示片段关联紧密。</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3.聚焦主题、有理有据</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4.依据教学实施报告进行介绍，聚焦主题、观点准确、思路清晰、措施合理、成效可信，图表视频佐证有力。</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6" w:type="pct"/>
            <w:vMerge w:val="restart"/>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教学展示</w:t>
            </w:r>
          </w:p>
        </w:tc>
        <w:tc>
          <w:tcPr>
            <w:tcW w:w="27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50</w:t>
            </w:r>
          </w:p>
        </w:tc>
        <w:tc>
          <w:tcPr>
            <w:tcW w:w="7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1.坚持立德树人，体现知行合一、德技并修要求</w:t>
            </w:r>
          </w:p>
        </w:tc>
        <w:tc>
          <w:tcPr>
            <w:tcW w:w="32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1.落实立德树人，结合课程特点挖掘思政元素，强调有机融入课程教学，达到润物无声的育人效果。</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456" w:type="pct"/>
            <w:vMerge w:val="continue"/>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2.凸显职业教育类型特色，体现以生为本</w:t>
            </w:r>
          </w:p>
        </w:tc>
        <w:tc>
          <w:tcPr>
            <w:tcW w:w="32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2.</w:t>
            </w:r>
            <w:r>
              <w:rPr>
                <w:rFonts w:hint="eastAsia" w:ascii="仿宋_GB2312" w:hAnsi="宋体" w:eastAsia="仿宋_GB2312" w:cs="仿宋_GB2312"/>
                <w:b w:val="0"/>
                <w:bCs/>
                <w:i w:val="0"/>
                <w:iCs w:val="0"/>
                <w:snapToGrid w:val="0"/>
                <w:color w:val="000000"/>
                <w:kern w:val="0"/>
                <w:sz w:val="24"/>
                <w:szCs w:val="24"/>
                <w:u w:val="none"/>
                <w:lang w:val="en-US" w:eastAsia="zh-CN" w:bidi="ar"/>
              </w:rPr>
              <w:t>依据教案开展教学，课堂教学展示的任务内容、策略方法和教学情境等源于教案，符合教案中相应环节的教学实施安排，教学任务完整。</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3.教学内容清晰准确，教学活动安排合理，教学过程突出学生中心，体现先进教育思想和教学理念，遵循学生认知规律，有效解决学生遇到的问题，凸显职业教育类型特色。</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456" w:type="pct"/>
            <w:vMerge w:val="continue"/>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3.课堂教学质量高、效果好，反映师生真实教学状态</w:t>
            </w:r>
          </w:p>
        </w:tc>
        <w:tc>
          <w:tcPr>
            <w:tcW w:w="32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4.</w:t>
            </w:r>
            <w:r>
              <w:rPr>
                <w:rFonts w:hint="eastAsia" w:ascii="仿宋_GB2312" w:hAnsi="宋体" w:eastAsia="仿宋_GB2312" w:cs="仿宋_GB2312"/>
                <w:b w:val="0"/>
                <w:bCs/>
                <w:i w:val="0"/>
                <w:iCs w:val="0"/>
                <w:snapToGrid w:val="0"/>
                <w:color w:val="000000"/>
                <w:kern w:val="0"/>
                <w:sz w:val="24"/>
                <w:szCs w:val="24"/>
                <w:u w:val="none"/>
                <w:lang w:val="en-US" w:eastAsia="zh-CN" w:bidi="ar"/>
              </w:rPr>
              <w:t>课堂教学活动设计合理、逻辑清晰，重难点突出，课堂气氛活跃、学生积极参与，教师能说会做善导，学生乐学、学会，有效达成教学目标。</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5.课堂教学展示呈现真实教学，教学场所真实朴实，师生服装符合日常教学状态；学生人数与班级建制（或分班教学安排后）一致，包含线上、线下学习的学生，分班教学在教案中能够找到相关说明。</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6.视频文件命名符合规定，镜头稳定，不片面追求拍摄效果，光线适当，声音洪亮，图像与声音同步，无后期剪辑。</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456" w:type="pct"/>
            <w:vMerge w:val="continue"/>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4.数字技术与教学方式方法运用恰当，体现深度学习</w:t>
            </w:r>
          </w:p>
        </w:tc>
        <w:tc>
          <w:tcPr>
            <w:tcW w:w="32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7.</w:t>
            </w:r>
            <w:r>
              <w:rPr>
                <w:rFonts w:hint="eastAsia" w:ascii="仿宋_GB2312" w:hAnsi="宋体" w:eastAsia="仿宋_GB2312" w:cs="仿宋_GB2312"/>
                <w:b w:val="0"/>
                <w:bCs/>
                <w:i w:val="0"/>
                <w:iCs w:val="0"/>
                <w:snapToGrid w:val="0"/>
                <w:color w:val="000000"/>
                <w:kern w:val="0"/>
                <w:sz w:val="24"/>
                <w:szCs w:val="24"/>
                <w:u w:val="none"/>
                <w:lang w:val="en-US" w:eastAsia="zh-CN" w:bidi="ar"/>
              </w:rPr>
              <w:t>教学环境满足需求，教学过程系统优化，教法学法运用恰当，流程环节构思得当，教学活动开展有序，数字技术运用适当，教学资源、设施设备提高教学与管理成效。</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8.重视对学生素养的培育，促进学生全面发展，注重教学重难点和课堂生成性问题的解决，教学互动深入有效、课堂氛围活跃，充分调动学生全面深度参与，给学生深刻的学习体验。</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456" w:type="pct"/>
            <w:vMerge w:val="continue"/>
            <w:tcBorders>
              <w:top w:val="nil"/>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5.展示教师良好综合素养，展现团队优势</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9.教师课堂教学素养水平高，态度认真、严谨规范、教态自然、表述清晰、亲和力强、各有特色，实训教学讲解和操作配合恰当，规范娴熟、示范有效，符合职业岗位要求，展现良好“双师”素养和团队优势。</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4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答辩</w:t>
            </w:r>
          </w:p>
        </w:tc>
        <w:tc>
          <w:tcPr>
            <w:tcW w:w="2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1.紧扣问题、论述全面，条理清晰、表达流畅</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1.</w:t>
            </w:r>
            <w:r>
              <w:rPr>
                <w:rFonts w:hint="eastAsia" w:ascii="仿宋_GB2312" w:hAnsi="宋体" w:eastAsia="仿宋_GB2312" w:cs="仿宋_GB2312"/>
                <w:b w:val="0"/>
                <w:bCs/>
                <w:i w:val="0"/>
                <w:iCs w:val="0"/>
                <w:snapToGrid w:val="0"/>
                <w:color w:val="000000"/>
                <w:kern w:val="0"/>
                <w:sz w:val="24"/>
                <w:szCs w:val="24"/>
                <w:u w:val="none"/>
                <w:lang w:val="en-US" w:eastAsia="zh-CN" w:bidi="ar"/>
              </w:rPr>
              <w:t>回答问题应与参赛内容契合，针对性强、重点突出，避免答非所问、泛泛而谈。</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2.答辩言简意赅、逻辑严谨、表达流畅、信服力强，充分体现教师扎实的教育教学理论功底和高超的教学改革研究水平。</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2.教学理念先进，教学水平高，教学实践有特色，真实可信</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3.对教育教学理念理解深刻，对教育教学方法研究深入，回答问题观点正确、描述事实清楚，能结合课程教学实际，例证充分有力、实践真实可信。</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p>
        </w:tc>
        <w:tc>
          <w:tcPr>
            <w:tcW w:w="2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3.答辩自圆其说，与参赛材料一致性强</w:t>
            </w:r>
          </w:p>
        </w:tc>
        <w:tc>
          <w:tcPr>
            <w:tcW w:w="3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both"/>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4.答辩中陈述的观点、过程、方法等逻辑自洽，并与初赛、决赛所提交的其他材料以及教学实施报告汇报保持高度一致。</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topLinePunct w:val="0"/>
              <w:bidi w:val="0"/>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default" w:ascii="仿宋_GB2312" w:hAnsi="宋体" w:eastAsia="仿宋_GB2312" w:cs="仿宋_GB2312"/>
                <w:b w:val="0"/>
                <w:bCs/>
                <w:i w:val="0"/>
                <w:iCs w:val="0"/>
                <w:snapToGrid w:val="0"/>
                <w:color w:val="000000"/>
                <w:kern w:val="0"/>
                <w:sz w:val="24"/>
                <w:szCs w:val="24"/>
                <w:u w:val="none"/>
                <w:lang w:val="en-US" w:eastAsia="zh-CN" w:bidi="ar"/>
              </w:rPr>
              <w:t>5</w:t>
            </w:r>
          </w:p>
        </w:tc>
      </w:tr>
    </w:tbl>
    <w:p>
      <w:pPr>
        <w:pStyle w:val="2"/>
        <w:keepNext w:val="0"/>
        <w:keepLines w:val="0"/>
        <w:pageBreakBefore w:val="0"/>
        <w:kinsoku/>
        <w:topLinePunct w:val="0"/>
        <w:bidi w:val="0"/>
        <w:rPr>
          <w:rFonts w:hint="eastAsia"/>
          <w:b w:val="0"/>
          <w:bCs/>
          <w:lang w:val="en-US" w:eastAsia="zh-CN"/>
        </w:rPr>
        <w:sectPr>
          <w:footerReference r:id="rId10" w:type="default"/>
          <w:pgSz w:w="16839" w:h="11906"/>
          <w:pgMar w:top="1417" w:right="1304" w:bottom="1304" w:left="1701" w:header="0" w:footer="1134" w:gutter="0"/>
          <w:pgNumType w:fmt="numberInDash"/>
          <w:cols w:space="720" w:num="1"/>
        </w:sect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附件7</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关于2024年福建省职业院校技能大赛思想</w:t>
      </w: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政治教育课程教学能力比赛和</w:t>
      </w: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中等职业学校班主任能力比赛</w:t>
      </w: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专家库人选推荐要求</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color w:val="auto"/>
          <w:kern w:val="0"/>
          <w:sz w:val="32"/>
          <w:szCs w:val="32"/>
          <w:lang w:eastAsia="zh-CN" w:bidi="ar"/>
        </w:rPr>
      </w:pPr>
      <w:r>
        <w:rPr>
          <w:rFonts w:hint="eastAsia" w:ascii="仿宋_GB2312" w:hAnsi="仿宋" w:eastAsia="仿宋_GB2312" w:cs="Times New Roman"/>
          <w:snapToGrid/>
          <w:color w:val="auto"/>
          <w:kern w:val="2"/>
          <w:sz w:val="32"/>
          <w:szCs w:val="32"/>
          <w:lang w:eastAsia="zh-CN"/>
        </w:rPr>
        <w:t>为更好服务</w:t>
      </w:r>
      <w:r>
        <w:rPr>
          <w:rFonts w:hint="eastAsia" w:ascii="仿宋_GB2312" w:hAnsi="仿宋_GB2312" w:eastAsia="仿宋_GB2312" w:cs="仿宋_GB2312"/>
          <w:snapToGrid/>
          <w:color w:val="auto"/>
          <w:kern w:val="0"/>
          <w:sz w:val="32"/>
          <w:szCs w:val="40"/>
          <w:lang w:val="en-US" w:eastAsia="zh-CN"/>
        </w:rPr>
        <w:t>我省</w:t>
      </w:r>
      <w:r>
        <w:rPr>
          <w:rFonts w:hint="eastAsia" w:ascii="仿宋_GB2312" w:hAnsi="仿宋_GB2312" w:eastAsia="仿宋_GB2312" w:cs="仿宋_GB2312"/>
          <w:snapToGrid/>
          <w:color w:val="auto"/>
          <w:kern w:val="0"/>
          <w:sz w:val="32"/>
          <w:szCs w:val="40"/>
          <w:lang w:eastAsia="zh-CN"/>
        </w:rPr>
        <w:t>职业院校技能大赛思想政治教育课程教学能力比赛</w:t>
      </w:r>
      <w:r>
        <w:rPr>
          <w:rFonts w:hint="eastAsia" w:ascii="仿宋_GB2312" w:hAnsi="仿宋_GB2312" w:eastAsia="仿宋_GB2312" w:cs="仿宋_GB2312"/>
          <w:snapToGrid/>
          <w:color w:val="auto"/>
          <w:kern w:val="0"/>
          <w:sz w:val="32"/>
          <w:szCs w:val="40"/>
          <w:lang w:val="en-US" w:eastAsia="zh-CN"/>
        </w:rPr>
        <w:t>和</w:t>
      </w:r>
      <w:r>
        <w:rPr>
          <w:rFonts w:hint="eastAsia" w:ascii="仿宋_GB2312" w:hAnsi="仿宋_GB2312" w:eastAsia="仿宋_GB2312" w:cs="仿宋_GB2312"/>
          <w:snapToGrid/>
          <w:color w:val="auto"/>
          <w:kern w:val="0"/>
          <w:sz w:val="32"/>
          <w:szCs w:val="40"/>
          <w:lang w:eastAsia="zh-CN"/>
        </w:rPr>
        <w:t>中等职业学校班主任能力比赛工作</w:t>
      </w:r>
      <w:r>
        <w:rPr>
          <w:rFonts w:hint="eastAsia" w:ascii="仿宋_GB2312" w:hAnsi="仿宋" w:eastAsia="仿宋_GB2312" w:cs="Times New Roman"/>
          <w:snapToGrid/>
          <w:color w:val="auto"/>
          <w:kern w:val="2"/>
          <w:sz w:val="32"/>
          <w:szCs w:val="32"/>
          <w:lang w:eastAsia="zh-CN"/>
        </w:rPr>
        <w:t>，提高办赛水平，</w:t>
      </w:r>
      <w:r>
        <w:rPr>
          <w:rFonts w:hint="eastAsia" w:ascii="仿宋_GB2312" w:hAnsi="仿宋_GB2312" w:eastAsia="仿宋_GB2312" w:cs="仿宋_GB2312"/>
          <w:snapToGrid/>
          <w:color w:val="auto"/>
          <w:kern w:val="0"/>
          <w:sz w:val="32"/>
          <w:szCs w:val="32"/>
          <w:lang w:eastAsia="zh-CN" w:bidi="ar"/>
        </w:rPr>
        <w:t>经研究，决定面向</w:t>
      </w:r>
      <w:r>
        <w:rPr>
          <w:rFonts w:hint="eastAsia" w:ascii="仿宋_GB2312" w:hAnsi="仿宋" w:eastAsia="仿宋_GB2312" w:cs="Times New Roman"/>
          <w:bCs/>
          <w:snapToGrid/>
          <w:color w:val="auto"/>
          <w:kern w:val="2"/>
          <w:sz w:val="32"/>
          <w:szCs w:val="32"/>
          <w:lang w:eastAsia="zh-CN"/>
        </w:rPr>
        <w:t>各设区市教育局、平潭综合实验区社会事业局，</w:t>
      </w:r>
      <w:r>
        <w:rPr>
          <w:rFonts w:hint="eastAsia" w:ascii="仿宋_GB2312" w:hAnsi="仿宋_GB2312" w:eastAsia="仿宋_GB2312" w:cs="仿宋_GB2312"/>
          <w:snapToGrid/>
          <w:color w:val="auto"/>
          <w:kern w:val="0"/>
          <w:sz w:val="32"/>
          <w:szCs w:val="32"/>
          <w:lang w:eastAsia="zh-CN" w:bidi="ar"/>
        </w:rPr>
        <w:t>本科院校、高职院校，省属中职学校和有关单位征集专家加入“福建省职业院校技能大赛思想政治教育课程教学能力比赛和中等职业学校班主任能力比赛专家库”。现将有关事项通知如下：</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1.政治立场坚定，拥护党的领导，坚持正确的国家观、民族观、历史观、文化观、宗教观，有很强的政治鉴别力和政治敏锐性，作风正派，廉洁公正，严守组织纪律，服从组织安排，没有违背党的理论和路线方针政策的言行，无违法违纪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2.热爱职业教育事业，具有较高的专业素质和理论水平，责任心强，工作严谨，在职业教育教学领域工作经验丰富，熟悉中职德育工作要求和改革进展情况，熟悉中职班主任工作相关法规政策及工作要求。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3</w:t>
      </w:r>
      <w:r>
        <w:rPr>
          <w:rFonts w:hint="eastAsia" w:ascii="仿宋_GB2312" w:hAnsi="仿宋_GB2312" w:eastAsia="仿宋_GB2312" w:cs="仿宋_GB2312"/>
          <w:snapToGrid/>
          <w:color w:val="auto"/>
          <w:kern w:val="2"/>
          <w:sz w:val="32"/>
          <w:szCs w:val="32"/>
          <w:lang w:eastAsia="zh-CN"/>
        </w:rPr>
        <w:t>.身体健康，年龄原则上不超过65周岁。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4</w:t>
      </w:r>
      <w:r>
        <w:rPr>
          <w:rFonts w:hint="eastAsia" w:ascii="仿宋_GB2312" w:hAnsi="仿宋_GB2312" w:eastAsia="仿宋_GB2312" w:cs="仿宋_GB2312"/>
          <w:snapToGrid/>
          <w:color w:val="auto"/>
          <w:kern w:val="2"/>
          <w:sz w:val="32"/>
          <w:szCs w:val="32"/>
          <w:lang w:eastAsia="zh-CN"/>
        </w:rPr>
        <w:t>.坚持自愿原则，且能够保证承担相关工作的时间和精力，按要求完成指定任务，所在单位能够为其提供有关支持和条件保障。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5.</w:t>
      </w:r>
      <w:bookmarkStart w:id="0" w:name="OLE_LINK1"/>
      <w:r>
        <w:rPr>
          <w:rFonts w:hint="eastAsia" w:ascii="仿宋_GB2312" w:hAnsi="仿宋_GB2312" w:eastAsia="仿宋_GB2312" w:cs="仿宋_GB2312"/>
          <w:snapToGrid/>
          <w:color w:val="auto"/>
          <w:kern w:val="2"/>
          <w:sz w:val="32"/>
          <w:szCs w:val="32"/>
          <w:lang w:val="en-US" w:eastAsia="zh-CN"/>
        </w:rPr>
        <w:t>近三年</w:t>
      </w:r>
      <w:bookmarkEnd w:id="0"/>
      <w:r>
        <w:rPr>
          <w:rFonts w:hint="eastAsia" w:ascii="仿宋_GB2312" w:hAnsi="仿宋_GB2312" w:eastAsia="仿宋_GB2312" w:cs="仿宋_GB2312"/>
          <w:snapToGrid/>
          <w:color w:val="auto"/>
          <w:kern w:val="2"/>
          <w:sz w:val="32"/>
          <w:szCs w:val="32"/>
          <w:lang w:eastAsia="zh-CN"/>
        </w:rPr>
        <w:t>担任过省级、国家级</w:t>
      </w:r>
      <w:r>
        <w:rPr>
          <w:rFonts w:hint="eastAsia" w:ascii="仿宋_GB2312" w:hAnsi="仿宋_GB2312" w:eastAsia="仿宋_GB2312" w:cs="仿宋_GB2312"/>
          <w:snapToGrid/>
          <w:color w:val="auto"/>
          <w:kern w:val="0"/>
          <w:sz w:val="32"/>
          <w:szCs w:val="40"/>
          <w:lang w:eastAsia="zh-CN"/>
        </w:rPr>
        <w:t>思想政治教育课程教学能力比赛</w:t>
      </w:r>
      <w:r>
        <w:rPr>
          <w:rFonts w:hint="eastAsia" w:ascii="仿宋_GB2312" w:hAnsi="仿宋_GB2312" w:eastAsia="仿宋_GB2312" w:cs="仿宋_GB2312"/>
          <w:snapToGrid/>
          <w:color w:val="auto"/>
          <w:kern w:val="0"/>
          <w:sz w:val="32"/>
          <w:szCs w:val="40"/>
          <w:lang w:val="en-US" w:eastAsia="zh-CN"/>
        </w:rPr>
        <w:t>、</w:t>
      </w:r>
      <w:r>
        <w:rPr>
          <w:rFonts w:hint="eastAsia" w:ascii="仿宋_GB2312" w:hAnsi="仿宋_GB2312" w:eastAsia="仿宋_GB2312" w:cs="仿宋_GB2312"/>
          <w:snapToGrid/>
          <w:color w:val="auto"/>
          <w:kern w:val="0"/>
          <w:sz w:val="32"/>
          <w:szCs w:val="40"/>
          <w:lang w:eastAsia="zh-CN"/>
        </w:rPr>
        <w:t>中等职业学校班主任能力比赛、高校思想政治理论课教学展示活动</w:t>
      </w:r>
      <w:r>
        <w:rPr>
          <w:rFonts w:hint="eastAsia" w:ascii="仿宋_GB2312" w:hAnsi="仿宋_GB2312" w:eastAsia="仿宋_GB2312" w:cs="仿宋_GB2312"/>
          <w:snapToGrid/>
          <w:color w:val="auto"/>
          <w:kern w:val="0"/>
          <w:sz w:val="32"/>
          <w:szCs w:val="40"/>
          <w:lang w:val="en-US" w:eastAsia="zh-CN"/>
        </w:rPr>
        <w:t>等比赛</w:t>
      </w:r>
      <w:r>
        <w:rPr>
          <w:rFonts w:hint="eastAsia" w:ascii="仿宋_GB2312" w:hAnsi="仿宋_GB2312" w:eastAsia="仿宋_GB2312" w:cs="仿宋_GB2312"/>
          <w:snapToGrid/>
          <w:color w:val="auto"/>
          <w:kern w:val="2"/>
          <w:sz w:val="32"/>
          <w:szCs w:val="32"/>
          <w:lang w:eastAsia="zh-CN"/>
        </w:rPr>
        <w:t>评委的优先推荐。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6</w:t>
      </w:r>
      <w:r>
        <w:rPr>
          <w:rFonts w:hint="eastAsia" w:ascii="仿宋_GB2312" w:hAnsi="仿宋_GB2312" w:eastAsia="仿宋_GB2312" w:cs="仿宋_GB2312"/>
          <w:snapToGrid/>
          <w:color w:val="auto"/>
          <w:kern w:val="2"/>
          <w:sz w:val="32"/>
          <w:szCs w:val="32"/>
          <w:lang w:eastAsia="zh-CN"/>
        </w:rPr>
        <w:t>.</w:t>
      </w:r>
      <w:r>
        <w:rPr>
          <w:rFonts w:hint="eastAsia" w:ascii="仿宋_GB2312" w:hAnsi="仿宋_GB2312" w:eastAsia="仿宋_GB2312" w:cs="仿宋_GB2312"/>
          <w:snapToGrid/>
          <w:color w:val="auto"/>
          <w:kern w:val="2"/>
          <w:sz w:val="32"/>
          <w:szCs w:val="32"/>
          <w:lang w:val="en-US" w:eastAsia="zh-CN"/>
        </w:rPr>
        <w:t>近三年</w:t>
      </w:r>
      <w:r>
        <w:rPr>
          <w:rFonts w:hint="eastAsia" w:ascii="仿宋_GB2312" w:hAnsi="仿宋_GB2312" w:eastAsia="仿宋_GB2312" w:cs="仿宋_GB2312"/>
          <w:snapToGrid/>
          <w:color w:val="auto"/>
          <w:kern w:val="2"/>
          <w:sz w:val="32"/>
          <w:szCs w:val="32"/>
          <w:lang w:eastAsia="zh-CN"/>
        </w:rPr>
        <w:t>曾指导参赛团队获得</w:t>
      </w:r>
      <w:r>
        <w:rPr>
          <w:rFonts w:hint="eastAsia" w:ascii="仿宋_GB2312" w:hAnsi="仿宋_GB2312" w:eastAsia="仿宋_GB2312" w:cs="仿宋_GB2312"/>
          <w:snapToGrid/>
          <w:color w:val="auto"/>
          <w:kern w:val="0"/>
          <w:sz w:val="32"/>
          <w:szCs w:val="40"/>
          <w:lang w:eastAsia="zh-CN"/>
        </w:rPr>
        <w:t>思想政治教育课程教学能力比赛</w:t>
      </w:r>
      <w:r>
        <w:rPr>
          <w:rFonts w:hint="eastAsia" w:ascii="仿宋_GB2312" w:hAnsi="仿宋_GB2312" w:eastAsia="仿宋_GB2312" w:cs="仿宋_GB2312"/>
          <w:snapToGrid/>
          <w:color w:val="auto"/>
          <w:kern w:val="0"/>
          <w:sz w:val="32"/>
          <w:szCs w:val="40"/>
          <w:lang w:val="en-US" w:eastAsia="zh-CN"/>
        </w:rPr>
        <w:t>、</w:t>
      </w:r>
      <w:r>
        <w:rPr>
          <w:rFonts w:hint="eastAsia" w:ascii="仿宋_GB2312" w:hAnsi="仿宋_GB2312" w:eastAsia="仿宋_GB2312" w:cs="仿宋_GB2312"/>
          <w:snapToGrid/>
          <w:color w:val="auto"/>
          <w:kern w:val="0"/>
          <w:sz w:val="32"/>
          <w:szCs w:val="40"/>
          <w:lang w:eastAsia="zh-CN"/>
        </w:rPr>
        <w:t>中等职业学校班主任能力比赛、高校思想政治理论课教学展示活动</w:t>
      </w:r>
      <w:r>
        <w:rPr>
          <w:rFonts w:hint="eastAsia" w:ascii="仿宋_GB2312" w:hAnsi="仿宋_GB2312" w:eastAsia="仿宋_GB2312" w:cs="仿宋_GB2312"/>
          <w:snapToGrid/>
          <w:color w:val="auto"/>
          <w:kern w:val="0"/>
          <w:sz w:val="32"/>
          <w:szCs w:val="40"/>
          <w:lang w:val="en-US" w:eastAsia="zh-CN"/>
        </w:rPr>
        <w:t>等比赛的</w:t>
      </w:r>
      <w:r>
        <w:rPr>
          <w:rFonts w:hint="eastAsia" w:ascii="仿宋_GB2312" w:hAnsi="仿宋_GB2312" w:eastAsia="仿宋_GB2312" w:cs="仿宋_GB2312"/>
          <w:snapToGrid/>
          <w:color w:val="auto"/>
          <w:kern w:val="2"/>
          <w:sz w:val="32"/>
          <w:szCs w:val="32"/>
          <w:lang w:val="en-US" w:eastAsia="zh-CN"/>
        </w:rPr>
        <w:t>国家级奖项或</w:t>
      </w:r>
      <w:r>
        <w:rPr>
          <w:rFonts w:hint="eastAsia" w:ascii="仿宋_GB2312" w:hAnsi="仿宋_GB2312" w:eastAsia="仿宋_GB2312" w:cs="仿宋_GB2312"/>
          <w:snapToGrid/>
          <w:color w:val="auto"/>
          <w:kern w:val="2"/>
          <w:sz w:val="32"/>
          <w:szCs w:val="32"/>
          <w:lang w:eastAsia="zh-CN"/>
        </w:rPr>
        <w:t>省</w:t>
      </w:r>
      <w:r>
        <w:rPr>
          <w:rFonts w:hint="eastAsia" w:ascii="仿宋_GB2312" w:hAnsi="仿宋_GB2312" w:eastAsia="仿宋_GB2312" w:cs="仿宋_GB2312"/>
          <w:snapToGrid/>
          <w:color w:val="auto"/>
          <w:kern w:val="2"/>
          <w:sz w:val="32"/>
          <w:szCs w:val="32"/>
          <w:lang w:val="en-US" w:eastAsia="zh-CN"/>
        </w:rPr>
        <w:t>级</w:t>
      </w:r>
      <w:r>
        <w:rPr>
          <w:rFonts w:hint="eastAsia" w:ascii="仿宋_GB2312" w:hAnsi="仿宋_GB2312" w:eastAsia="仿宋_GB2312" w:cs="仿宋_GB2312"/>
          <w:snapToGrid/>
          <w:color w:val="auto"/>
          <w:kern w:val="2"/>
          <w:sz w:val="32"/>
          <w:szCs w:val="32"/>
          <w:lang w:eastAsia="zh-CN"/>
        </w:rPr>
        <w:t>一等奖，能够对参赛作品提供全方位、多角度的专业指导的优先推荐。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7</w:t>
      </w:r>
      <w:r>
        <w:rPr>
          <w:rFonts w:hint="eastAsia" w:ascii="仿宋_GB2312" w:hAnsi="仿宋_GB2312" w:eastAsia="仿宋_GB2312" w:cs="仿宋_GB2312"/>
          <w:snapToGrid/>
          <w:color w:val="auto"/>
          <w:kern w:val="2"/>
          <w:sz w:val="32"/>
          <w:szCs w:val="32"/>
          <w:lang w:eastAsia="zh-CN"/>
        </w:rPr>
        <w:t>.近三年曾获</w:t>
      </w:r>
      <w:r>
        <w:rPr>
          <w:rFonts w:hint="eastAsia" w:ascii="仿宋_GB2312" w:hAnsi="仿宋_GB2312" w:eastAsia="仿宋_GB2312" w:cs="仿宋_GB2312"/>
          <w:snapToGrid/>
          <w:color w:val="auto"/>
          <w:kern w:val="0"/>
          <w:sz w:val="32"/>
          <w:szCs w:val="40"/>
          <w:lang w:eastAsia="zh-CN"/>
        </w:rPr>
        <w:t>思想政治教育课程教学能力比赛</w:t>
      </w:r>
      <w:r>
        <w:rPr>
          <w:rFonts w:hint="eastAsia" w:ascii="仿宋_GB2312" w:hAnsi="仿宋_GB2312" w:eastAsia="仿宋_GB2312" w:cs="仿宋_GB2312"/>
          <w:snapToGrid/>
          <w:color w:val="auto"/>
          <w:kern w:val="0"/>
          <w:sz w:val="32"/>
          <w:szCs w:val="40"/>
          <w:lang w:val="en-US" w:eastAsia="zh-CN"/>
        </w:rPr>
        <w:t>、</w:t>
      </w:r>
      <w:r>
        <w:rPr>
          <w:rFonts w:hint="eastAsia" w:ascii="仿宋_GB2312" w:hAnsi="仿宋_GB2312" w:eastAsia="仿宋_GB2312" w:cs="仿宋_GB2312"/>
          <w:snapToGrid/>
          <w:color w:val="auto"/>
          <w:kern w:val="0"/>
          <w:sz w:val="32"/>
          <w:szCs w:val="40"/>
          <w:lang w:eastAsia="zh-CN"/>
        </w:rPr>
        <w:t>中等职业学校班主任能力比赛、高校思想政治理论课教学展示活动</w:t>
      </w:r>
      <w:r>
        <w:rPr>
          <w:rFonts w:hint="eastAsia" w:ascii="仿宋_GB2312" w:hAnsi="仿宋_GB2312" w:eastAsia="仿宋_GB2312" w:cs="仿宋_GB2312"/>
          <w:snapToGrid/>
          <w:color w:val="auto"/>
          <w:kern w:val="0"/>
          <w:sz w:val="32"/>
          <w:szCs w:val="40"/>
          <w:lang w:val="en-US" w:eastAsia="zh-CN"/>
        </w:rPr>
        <w:t>等比赛国家级</w:t>
      </w:r>
      <w:r>
        <w:rPr>
          <w:rFonts w:hint="eastAsia" w:ascii="仿宋_GB2312" w:hAnsi="仿宋_GB2312" w:eastAsia="仿宋_GB2312" w:cs="仿宋_GB2312"/>
          <w:snapToGrid/>
          <w:color w:val="auto"/>
          <w:kern w:val="2"/>
          <w:sz w:val="32"/>
          <w:szCs w:val="32"/>
          <w:lang w:eastAsia="zh-CN"/>
        </w:rPr>
        <w:t>二等奖以上的参赛教学团队成员优先推荐。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val="en-US" w:eastAsia="zh-CN"/>
        </w:rPr>
        <w:t>8.具有正高级专业技术职务的本科院校思想政治理论课教师优先推荐。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val="en-US" w:eastAsia="zh-CN"/>
        </w:rPr>
        <w:t>9</w:t>
      </w:r>
      <w:r>
        <w:rPr>
          <w:rFonts w:hint="eastAsia" w:ascii="仿宋_GB2312" w:hAnsi="仿宋_GB2312" w:eastAsia="仿宋_GB2312" w:cs="仿宋_GB2312"/>
          <w:snapToGrid/>
          <w:color w:val="auto"/>
          <w:kern w:val="2"/>
          <w:sz w:val="32"/>
          <w:szCs w:val="32"/>
          <w:lang w:eastAsia="zh-CN"/>
        </w:rPr>
        <w:t>.国家级、省级德育名师和名班主任、班主任工作室主持人、课程思政教育教学改革项目负责人，省级以上教学名师，国家级教学成果二等奖以上主持人等优先推荐。</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二、推荐要求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1.本次专家推荐工作不属于评奖、评优或专家资质认定范畴，不发放聘书，不发文公布专家名单。各地区、院校、单位推荐的专家将统一纳入专家库，作为储备专家资源。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2.各地各单位也可推荐省外来自高职院校、本科院校、教科研单位等机构的专家，以及</w:t>
      </w:r>
      <w:r>
        <w:rPr>
          <w:rFonts w:hint="eastAsia" w:ascii="仿宋_GB2312" w:hAnsi="仿宋_GB2312" w:eastAsia="仿宋_GB2312" w:cs="仿宋_GB2312"/>
          <w:snapToGrid/>
          <w:color w:val="auto"/>
          <w:kern w:val="2"/>
          <w:sz w:val="32"/>
          <w:szCs w:val="32"/>
          <w:lang w:val="en-US" w:eastAsia="zh-CN"/>
        </w:rPr>
        <w:t>国家级比赛</w:t>
      </w:r>
      <w:r>
        <w:rPr>
          <w:rFonts w:hint="eastAsia" w:ascii="仿宋_GB2312" w:hAnsi="仿宋_GB2312" w:eastAsia="仿宋_GB2312" w:cs="仿宋_GB2312"/>
          <w:snapToGrid/>
          <w:color w:val="auto"/>
          <w:kern w:val="2"/>
          <w:sz w:val="32"/>
          <w:szCs w:val="32"/>
          <w:lang w:eastAsia="zh-CN"/>
        </w:rPr>
        <w:t>一等奖教学团队的成员。</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三、推荐办法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napToGrid/>
          <w:color w:val="auto"/>
          <w:kern w:val="2"/>
          <w:sz w:val="32"/>
          <w:szCs w:val="32"/>
          <w:highlight w:val="lightGray"/>
          <w:lang w:eastAsia="zh-CN"/>
        </w:rPr>
      </w:pPr>
      <w:r>
        <w:rPr>
          <w:rFonts w:hint="eastAsia" w:ascii="仿宋_GB2312" w:hAnsi="仿宋_GB2312" w:eastAsia="仿宋_GB2312" w:cs="仿宋_GB2312"/>
          <w:snapToGrid/>
          <w:color w:val="auto"/>
          <w:kern w:val="2"/>
          <w:sz w:val="32"/>
          <w:szCs w:val="32"/>
          <w:lang w:eastAsia="zh-CN"/>
        </w:rPr>
        <w:t>推</w:t>
      </w:r>
      <w:r>
        <w:rPr>
          <w:rFonts w:hint="eastAsia" w:ascii="仿宋_GB2312" w:hAnsi="仿宋_GB2312" w:eastAsia="仿宋_GB2312" w:cs="仿宋_GB2312"/>
          <w:snapToGrid/>
          <w:color w:val="auto"/>
          <w:kern w:val="0"/>
          <w:sz w:val="32"/>
          <w:szCs w:val="32"/>
          <w:lang w:eastAsia="zh-CN" w:bidi="ar"/>
        </w:rPr>
        <w:t>荐单位需与所推荐人员进行沟通，确定意愿，</w:t>
      </w:r>
      <w:r>
        <w:rPr>
          <w:rFonts w:hint="eastAsia" w:ascii="仿宋_GB2312" w:hAnsi="仿宋_GB2312" w:eastAsia="仿宋_GB2312" w:cs="仿宋_GB2312"/>
          <w:snapToGrid/>
          <w:color w:val="auto"/>
          <w:kern w:val="2"/>
          <w:sz w:val="32"/>
          <w:szCs w:val="32"/>
          <w:lang w:val="en-US" w:eastAsia="zh-CN"/>
        </w:rPr>
        <w:t>填写</w:t>
      </w:r>
      <w:r>
        <w:rPr>
          <w:rFonts w:hint="eastAsia" w:ascii="仿宋_GB2312" w:hAnsi="仿宋_GB2312" w:eastAsia="仿宋_GB2312" w:cs="仿宋_GB2312"/>
          <w:snapToGrid/>
          <w:color w:val="auto"/>
          <w:kern w:val="2"/>
          <w:sz w:val="32"/>
          <w:szCs w:val="32"/>
          <w:lang w:eastAsia="zh-CN"/>
        </w:rPr>
        <w:t>《专家推荐表》（表1）和《专家推荐汇总表》（表2），并于</w:t>
      </w:r>
      <w:r>
        <w:rPr>
          <w:rFonts w:hint="eastAsia" w:ascii="仿宋_GB2312" w:hAnsi="仿宋_GB2312" w:eastAsia="仿宋_GB2312" w:cs="仿宋_GB2312"/>
          <w:snapToGrid/>
          <w:color w:val="auto"/>
          <w:kern w:val="2"/>
          <w:sz w:val="32"/>
          <w:szCs w:val="32"/>
          <w:lang w:val="en-US" w:eastAsia="zh-CN"/>
        </w:rPr>
        <w:t>4</w:t>
      </w:r>
      <w:r>
        <w:rPr>
          <w:rFonts w:hint="eastAsia" w:ascii="仿宋_GB2312" w:hAnsi="仿宋_GB2312" w:eastAsia="仿宋_GB2312" w:cs="仿宋_GB2312"/>
          <w:snapToGrid/>
          <w:color w:val="auto"/>
          <w:kern w:val="2"/>
          <w:sz w:val="32"/>
          <w:szCs w:val="32"/>
          <w:lang w:eastAsia="zh-CN"/>
        </w:rPr>
        <w:t>月</w:t>
      </w:r>
      <w:r>
        <w:rPr>
          <w:rFonts w:hint="eastAsia" w:ascii="仿宋_GB2312" w:hAnsi="仿宋_GB2312" w:eastAsia="仿宋_GB2312" w:cs="仿宋_GB2312"/>
          <w:snapToGrid/>
          <w:color w:val="auto"/>
          <w:kern w:val="2"/>
          <w:sz w:val="32"/>
          <w:szCs w:val="32"/>
          <w:lang w:val="en-US" w:eastAsia="zh-CN"/>
        </w:rPr>
        <w:t>10</w:t>
      </w:r>
      <w:r>
        <w:rPr>
          <w:rFonts w:hint="eastAsia" w:ascii="仿宋_GB2312" w:hAnsi="仿宋_GB2312" w:eastAsia="仿宋_GB2312" w:cs="仿宋_GB2312"/>
          <w:snapToGrid/>
          <w:color w:val="auto"/>
          <w:kern w:val="2"/>
          <w:sz w:val="32"/>
          <w:szCs w:val="32"/>
          <w:lang w:eastAsia="zh-CN"/>
        </w:rPr>
        <w:t>日前将</w:t>
      </w:r>
      <w:r>
        <w:rPr>
          <w:rFonts w:hint="eastAsia" w:ascii="仿宋_GB2312" w:hAnsi="仿宋_GB2312" w:eastAsia="仿宋_GB2312" w:cs="仿宋_GB2312"/>
          <w:snapToGrid/>
          <w:color w:val="auto"/>
          <w:kern w:val="2"/>
          <w:sz w:val="32"/>
          <w:szCs w:val="32"/>
          <w:lang w:val="en-US" w:eastAsia="zh-CN"/>
        </w:rPr>
        <w:t>表1、2的</w:t>
      </w:r>
      <w:r>
        <w:rPr>
          <w:rFonts w:hint="eastAsia" w:ascii="仿宋_GB2312" w:hAnsi="仿宋_GB2312" w:eastAsia="仿宋_GB2312" w:cs="仿宋_GB2312"/>
          <w:snapToGrid/>
          <w:color w:val="auto"/>
          <w:kern w:val="2"/>
          <w:sz w:val="32"/>
          <w:szCs w:val="32"/>
          <w:lang w:eastAsia="zh-CN"/>
        </w:rPr>
        <w:t>电子版（word格式）及盖章扫描件（PDF格式）</w:t>
      </w:r>
      <w:r>
        <w:rPr>
          <w:rFonts w:hint="eastAsia" w:ascii="仿宋_GB2312" w:hAnsi="仿宋_GB2312" w:eastAsia="仿宋_GB2312" w:cs="仿宋_GB2312"/>
          <w:snapToGrid/>
          <w:color w:val="auto"/>
          <w:kern w:val="2"/>
          <w:sz w:val="32"/>
          <w:szCs w:val="32"/>
          <w:lang w:val="en-US" w:eastAsia="zh-CN"/>
        </w:rPr>
        <w:t>命名为“xxx（单位名称）</w:t>
      </w:r>
      <w:r>
        <w:rPr>
          <w:rFonts w:hint="eastAsia" w:ascii="仿宋_GB2312" w:hAnsi="仿宋_GB2312" w:eastAsia="仿宋_GB2312" w:cs="仿宋_GB2312"/>
          <w:snapToGrid/>
          <w:color w:val="auto"/>
          <w:kern w:val="2"/>
          <w:sz w:val="32"/>
          <w:szCs w:val="32"/>
          <w:lang w:eastAsia="zh-CN"/>
        </w:rPr>
        <w:t>专家推荐表（</w:t>
      </w:r>
      <w:r>
        <w:rPr>
          <w:rFonts w:hint="eastAsia" w:ascii="仿宋_GB2312" w:hAnsi="仿宋_GB2312" w:eastAsia="仿宋_GB2312" w:cs="仿宋_GB2312"/>
          <w:snapToGrid/>
          <w:color w:val="auto"/>
          <w:kern w:val="2"/>
          <w:sz w:val="32"/>
          <w:szCs w:val="32"/>
          <w:lang w:val="en-US" w:eastAsia="zh-CN"/>
        </w:rPr>
        <w:t>xx人</w:t>
      </w:r>
      <w:r>
        <w:rPr>
          <w:rFonts w:hint="eastAsia" w:ascii="仿宋_GB2312" w:hAnsi="仿宋_GB2312" w:eastAsia="仿宋_GB2312" w:cs="仿宋_GB2312"/>
          <w:snapToGrid/>
          <w:color w:val="auto"/>
          <w:kern w:val="2"/>
          <w:sz w:val="32"/>
          <w:szCs w:val="32"/>
          <w:lang w:eastAsia="zh-CN"/>
        </w:rPr>
        <w:t>）</w:t>
      </w:r>
      <w:r>
        <w:rPr>
          <w:rFonts w:hint="eastAsia" w:ascii="仿宋_GB2312" w:hAnsi="仿宋_GB2312" w:eastAsia="仿宋_GB2312" w:cs="仿宋_GB2312"/>
          <w:snapToGrid/>
          <w:color w:val="auto"/>
          <w:kern w:val="2"/>
          <w:sz w:val="32"/>
          <w:szCs w:val="32"/>
          <w:lang w:val="en-US" w:eastAsia="zh-CN"/>
        </w:rPr>
        <w:t>”</w:t>
      </w:r>
      <w:r>
        <w:rPr>
          <w:rFonts w:hint="eastAsia" w:ascii="仿宋_GB2312" w:hAnsi="仿宋_GB2312" w:eastAsia="仿宋_GB2312" w:cs="仿宋_GB2312"/>
          <w:snapToGrid/>
          <w:color w:val="auto"/>
          <w:kern w:val="2"/>
          <w:sz w:val="32"/>
          <w:szCs w:val="32"/>
          <w:lang w:eastAsia="zh-CN"/>
        </w:rPr>
        <w:t>发送至</w:t>
      </w:r>
      <w:r>
        <w:rPr>
          <w:rFonts w:hint="eastAsia" w:ascii="仿宋_GB2312" w:hAnsi="仿宋_GB2312" w:eastAsia="仿宋_GB2312" w:cs="仿宋_GB2312"/>
          <w:snapToGrid/>
          <w:color w:val="auto"/>
          <w:kern w:val="2"/>
          <w:sz w:val="32"/>
          <w:szCs w:val="32"/>
          <w:highlight w:val="none"/>
          <w:lang w:val="en-US" w:eastAsia="zh-CN" w:bidi="ar-SA"/>
        </w:rPr>
        <w:t>邮箱：595161477@139.com。</w:t>
      </w:r>
    </w:p>
    <w:p>
      <w:pPr>
        <w:widowControl w:val="0"/>
        <w:kinsoku/>
        <w:autoSpaceDE/>
        <w:autoSpaceDN/>
        <w:adjustRightInd/>
        <w:snapToGrid/>
        <w:spacing w:line="240" w:lineRule="auto"/>
        <w:jc w:val="both"/>
        <w:textAlignment w:val="auto"/>
        <w:rPr>
          <w:rFonts w:hint="eastAsia" w:ascii="Times New Roman" w:hAnsi="黑体" w:eastAsia="仿宋" w:cs="Times New Roman"/>
          <w:snapToGrid/>
          <w:color w:val="auto"/>
          <w:kern w:val="2"/>
          <w:sz w:val="32"/>
          <w:szCs w:val="32"/>
          <w:lang w:eastAsia="zh-CN" w:bidi="ar"/>
        </w:rPr>
      </w:pPr>
    </w:p>
    <w:p>
      <w:pPr>
        <w:widowControl w:val="0"/>
        <w:ind w:firstLine="320" w:firstLineChars="100"/>
        <w:jc w:val="both"/>
        <w:rPr>
          <w:rFonts w:hint="eastAsia" w:ascii="Calibri" w:hAnsi="黑体" w:eastAsia="宋体" w:cs="仿宋_GB2312"/>
          <w:color w:val="auto"/>
          <w:kern w:val="0"/>
          <w:sz w:val="32"/>
          <w:szCs w:val="32"/>
          <w:lang w:val="zh-CN" w:eastAsia="zh-CN" w:bidi="ar"/>
        </w:rPr>
      </w:pPr>
    </w:p>
    <w:p>
      <w:pPr>
        <w:widowControl w:val="0"/>
        <w:ind w:firstLine="320" w:firstLineChars="100"/>
        <w:jc w:val="both"/>
        <w:rPr>
          <w:rFonts w:hint="eastAsia" w:ascii="Calibri" w:hAnsi="黑体" w:eastAsia="宋体" w:cs="仿宋_GB2312"/>
          <w:color w:val="auto"/>
          <w:kern w:val="0"/>
          <w:sz w:val="32"/>
          <w:szCs w:val="32"/>
          <w:lang w:val="zh-CN" w:eastAsia="zh-CN" w:bidi="ar"/>
        </w:rPr>
      </w:pPr>
    </w:p>
    <w:p>
      <w:pPr>
        <w:widowControl w:val="0"/>
        <w:kinsoku/>
        <w:autoSpaceDE/>
        <w:autoSpaceDN/>
        <w:adjustRightInd/>
        <w:snapToGrid/>
        <w:spacing w:line="240" w:lineRule="auto"/>
        <w:jc w:val="left"/>
        <w:textAlignment w:val="auto"/>
        <w:rPr>
          <w:rStyle w:val="23"/>
          <w:rFonts w:hint="eastAsia" w:ascii="黑体" w:hAnsi="黑体" w:eastAsia="黑体" w:cs="黑体"/>
          <w:snapToGrid/>
          <w:color w:val="auto"/>
          <w:kern w:val="2"/>
          <w:sz w:val="32"/>
          <w:szCs w:val="32"/>
          <w:lang w:eastAsia="zh-CN" w:bidi="ar"/>
        </w:rPr>
      </w:pPr>
      <w:r>
        <w:rPr>
          <w:rFonts w:hint="eastAsia" w:ascii="黑体" w:hAnsi="黑体" w:eastAsia="黑体" w:cs="黑体"/>
          <w:snapToGrid/>
          <w:color w:val="auto"/>
          <w:kern w:val="2"/>
          <w:sz w:val="32"/>
          <w:szCs w:val="32"/>
          <w:u w:val="none"/>
          <w:lang w:eastAsia="zh-CN" w:bidi="ar"/>
        </w:rPr>
        <w:br w:type="page"/>
      </w:r>
      <w:r>
        <w:rPr>
          <w:rFonts w:hint="eastAsia" w:ascii="黑体" w:hAnsi="黑体" w:eastAsia="黑体" w:cs="黑体"/>
          <w:snapToGrid/>
          <w:color w:val="auto"/>
          <w:kern w:val="2"/>
          <w:sz w:val="32"/>
          <w:szCs w:val="32"/>
          <w:u w:val="none"/>
          <w:lang w:eastAsia="zh-CN" w:bidi="ar"/>
        </w:rPr>
        <w:t>表</w:t>
      </w:r>
      <w:r>
        <w:rPr>
          <w:rStyle w:val="23"/>
          <w:rFonts w:hint="eastAsia" w:ascii="黑体" w:hAnsi="黑体" w:eastAsia="黑体" w:cs="黑体"/>
          <w:snapToGrid/>
          <w:color w:val="auto"/>
          <w:kern w:val="2"/>
          <w:sz w:val="32"/>
          <w:szCs w:val="32"/>
          <w:lang w:eastAsia="zh-CN" w:bidi="ar"/>
        </w:rPr>
        <w:t>1</w:t>
      </w:r>
    </w:p>
    <w:p>
      <w:pPr>
        <w:pStyle w:val="2"/>
        <w:rPr>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福建省职业院校技能大赛思想政治教育课程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kern w:val="2"/>
          <w:sz w:val="44"/>
          <w:szCs w:val="44"/>
          <w:lang w:eastAsia="zh-CN"/>
        </w:rPr>
      </w:pPr>
      <w:r>
        <w:rPr>
          <w:rFonts w:hint="eastAsia" w:ascii="方正小标宋简体" w:hAnsi="方正小标宋简体" w:eastAsia="方正小标宋简体" w:cs="方正小标宋简体"/>
          <w:snapToGrid/>
          <w:color w:val="auto"/>
          <w:kern w:val="2"/>
          <w:sz w:val="44"/>
          <w:szCs w:val="44"/>
          <w:lang w:eastAsia="zh-CN"/>
        </w:rPr>
        <w:t>教学能力比赛和中等职业学校班主任能力比赛专家推荐表</w:t>
      </w:r>
    </w:p>
    <w:p>
      <w:pPr>
        <w:widowControl w:val="0"/>
        <w:kinsoku/>
        <w:autoSpaceDE/>
        <w:autoSpaceDN/>
        <w:adjustRightInd/>
        <w:snapToGrid/>
        <w:spacing w:line="560" w:lineRule="exact"/>
        <w:jc w:val="center"/>
        <w:textAlignment w:val="auto"/>
        <w:rPr>
          <w:rFonts w:hint="eastAsia"/>
          <w:lang w:eastAsia="zh-CN"/>
        </w:rPr>
      </w:pPr>
    </w:p>
    <w:tbl>
      <w:tblPr>
        <w:tblStyle w:val="10"/>
        <w:tblW w:w="92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1289"/>
        <w:gridCol w:w="967"/>
        <w:gridCol w:w="574"/>
        <w:gridCol w:w="1377"/>
        <w:gridCol w:w="499"/>
        <w:gridCol w:w="675"/>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tcBorders>
              <w:top w:val="single" w:color="auto" w:sz="8" w:space="0"/>
            </w:tcBorders>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推荐单位</w:t>
            </w:r>
          </w:p>
        </w:tc>
        <w:tc>
          <w:tcPr>
            <w:tcW w:w="6725" w:type="dxa"/>
            <w:gridSpan w:val="7"/>
            <w:tcBorders>
              <w:top w:val="single" w:color="auto" w:sz="8" w:space="0"/>
            </w:tcBorders>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tcBorders>
              <w:top w:val="single" w:color="auto" w:sz="8" w:space="0"/>
            </w:tcBorders>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姓   名</w:t>
            </w:r>
          </w:p>
        </w:tc>
        <w:tc>
          <w:tcPr>
            <w:tcW w:w="1289" w:type="dxa"/>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c>
          <w:tcPr>
            <w:tcW w:w="1541"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r>
              <w:rPr>
                <w:rFonts w:hint="eastAsia" w:ascii="黑体" w:hAnsi="黑体" w:eastAsia="黑体" w:cs="黑体"/>
                <w:snapToGrid/>
                <w:color w:val="auto"/>
                <w:kern w:val="2"/>
                <w:sz w:val="24"/>
                <w:szCs w:val="32"/>
                <w:lang w:eastAsia="zh-CN"/>
              </w:rPr>
              <w:t>性别</w:t>
            </w:r>
          </w:p>
        </w:tc>
        <w:tc>
          <w:tcPr>
            <w:tcW w:w="1377" w:type="dxa"/>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c>
          <w:tcPr>
            <w:tcW w:w="1174"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r>
              <w:rPr>
                <w:rFonts w:hint="eastAsia" w:ascii="黑体" w:hAnsi="黑体" w:eastAsia="黑体" w:cs="黑体"/>
                <w:snapToGrid/>
                <w:color w:val="auto"/>
                <w:kern w:val="2"/>
                <w:sz w:val="24"/>
                <w:szCs w:val="32"/>
                <w:lang w:eastAsia="zh-CN"/>
              </w:rPr>
              <w:t>年龄</w:t>
            </w:r>
          </w:p>
        </w:tc>
        <w:tc>
          <w:tcPr>
            <w:tcW w:w="1344" w:type="dxa"/>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tcBorders>
              <w:top w:val="single" w:color="auto" w:sz="8" w:space="0"/>
            </w:tcBorders>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工作单位</w:t>
            </w:r>
          </w:p>
        </w:tc>
        <w:tc>
          <w:tcPr>
            <w:tcW w:w="6725" w:type="dxa"/>
            <w:gridSpan w:val="7"/>
            <w:tcBorders>
              <w:top w:val="single" w:color="auto" w:sz="8" w:space="0"/>
            </w:tcBorders>
            <w:noWrap w:val="0"/>
            <w:vAlign w:val="center"/>
          </w:tcPr>
          <w:p>
            <w:pPr>
              <w:widowControl w:val="0"/>
              <w:kinsoku/>
              <w:autoSpaceDE/>
              <w:autoSpaceDN/>
              <w:adjustRightInd w:val="0"/>
              <w:snapToGrid w:val="0"/>
              <w:spacing w:line="400" w:lineRule="exact"/>
              <w:jc w:val="both"/>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val="en-US" w:eastAsia="zh-CN"/>
              </w:rPr>
            </w:pPr>
            <w:r>
              <w:rPr>
                <w:rFonts w:hint="eastAsia" w:ascii="黑体" w:hAnsi="黑体" w:eastAsia="黑体" w:cs="黑体"/>
                <w:snapToGrid/>
                <w:color w:val="auto"/>
                <w:kern w:val="2"/>
                <w:sz w:val="24"/>
                <w:szCs w:val="32"/>
                <w:lang w:eastAsia="zh-CN"/>
              </w:rPr>
              <w:t>行政职务</w:t>
            </w:r>
          </w:p>
        </w:tc>
        <w:tc>
          <w:tcPr>
            <w:tcW w:w="2256"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c>
          <w:tcPr>
            <w:tcW w:w="2450" w:type="dxa"/>
            <w:gridSpan w:val="3"/>
            <w:noWrap w:val="0"/>
            <w:vAlign w:val="center"/>
          </w:tcPr>
          <w:p>
            <w:pPr>
              <w:widowControl w:val="0"/>
              <w:kinsoku/>
              <w:autoSpaceDE/>
              <w:autoSpaceDN/>
              <w:adjustRightInd/>
              <w:snapToGrid/>
              <w:spacing w:line="38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专业技术职务/职称</w:t>
            </w:r>
          </w:p>
        </w:tc>
        <w:tc>
          <w:tcPr>
            <w:tcW w:w="2019"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手机号码</w:t>
            </w:r>
          </w:p>
        </w:tc>
        <w:tc>
          <w:tcPr>
            <w:tcW w:w="2256"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c>
          <w:tcPr>
            <w:tcW w:w="2450" w:type="dxa"/>
            <w:gridSpan w:val="3"/>
            <w:noWrap w:val="0"/>
            <w:vAlign w:val="center"/>
          </w:tcPr>
          <w:p>
            <w:pPr>
              <w:widowControl w:val="0"/>
              <w:kinsoku/>
              <w:autoSpaceDE/>
              <w:autoSpaceDN/>
              <w:adjustRightInd/>
              <w:snapToGrid/>
              <w:spacing w:line="38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电子邮箱</w:t>
            </w:r>
          </w:p>
        </w:tc>
        <w:tc>
          <w:tcPr>
            <w:tcW w:w="2019" w:type="dxa"/>
            <w:gridSpan w:val="2"/>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所学专业、学历</w:t>
            </w:r>
          </w:p>
        </w:tc>
        <w:tc>
          <w:tcPr>
            <w:tcW w:w="6725" w:type="dxa"/>
            <w:gridSpan w:val="7"/>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40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擅长领域</w:t>
            </w:r>
          </w:p>
        </w:tc>
        <w:tc>
          <w:tcPr>
            <w:tcW w:w="6725" w:type="dxa"/>
            <w:gridSpan w:val="7"/>
            <w:noWrap w:val="0"/>
            <w:vAlign w:val="center"/>
          </w:tcPr>
          <w:p>
            <w:pPr>
              <w:widowControl w:val="0"/>
              <w:kinsoku/>
              <w:autoSpaceDE/>
              <w:autoSpaceDN/>
              <w:adjustRightInd w:val="0"/>
              <w:snapToGrid w:val="0"/>
              <w:spacing w:line="400" w:lineRule="exact"/>
              <w:jc w:val="both"/>
              <w:textAlignment w:val="auto"/>
              <w:rPr>
                <w:rFonts w:hint="eastAsia" w:ascii="仿宋_GB2312" w:hAnsi="仿宋_GB2312" w:eastAsia="宋体" w:cs="仿宋_GB2312"/>
                <w:snapToGrid/>
                <w:color w:val="auto"/>
                <w:kern w:val="2"/>
                <w:sz w:val="24"/>
                <w:szCs w:val="32"/>
                <w:lang w:val="en-US" w:eastAsia="zh-CN"/>
              </w:rPr>
            </w:pPr>
            <w:r>
              <w:rPr>
                <w:rFonts w:hint="eastAsia" w:ascii="仿宋_GB2312" w:hAnsi="仿宋_GB2312" w:eastAsia="仿宋_GB2312" w:cs="仿宋_GB2312"/>
                <w:color w:val="auto"/>
                <w:kern w:val="2"/>
                <w:sz w:val="24"/>
                <w:szCs w:val="32"/>
                <w:lang w:val="en-US" w:eastAsia="zh-CN" w:bidi="ar-SA"/>
              </w:rPr>
              <w:t>（例：</w:t>
            </w:r>
            <w:r>
              <w:rPr>
                <w:rFonts w:hint="eastAsia" w:ascii="宋体" w:hAnsi="宋体" w:eastAsia="宋体" w:cs="宋体"/>
                <w:sz w:val="24"/>
                <w:szCs w:val="24"/>
                <w:lang w:val="en-US" w:eastAsia="zh-CN"/>
              </w:rPr>
              <w:t>班主任工作及相关研究、</w:t>
            </w:r>
            <w:r>
              <w:rPr>
                <w:rFonts w:ascii="宋体" w:hAnsi="宋体" w:eastAsia="宋体" w:cs="宋体"/>
                <w:sz w:val="24"/>
                <w:szCs w:val="24"/>
              </w:rPr>
              <w:t>中国特色社会主义</w:t>
            </w:r>
            <w:r>
              <w:rPr>
                <w:rFonts w:hint="eastAsia" w:ascii="宋体" w:hAnsi="宋体" w:eastAsia="宋体" w:cs="宋体"/>
                <w:sz w:val="24"/>
                <w:szCs w:val="24"/>
                <w:lang w:eastAsia="zh-CN"/>
              </w:rPr>
              <w:t>、</w:t>
            </w:r>
            <w:r>
              <w:rPr>
                <w:rFonts w:ascii="宋体" w:hAnsi="宋体" w:eastAsia="宋体" w:cs="宋体"/>
                <w:sz w:val="24"/>
                <w:szCs w:val="24"/>
              </w:rPr>
              <w:t>心理健康与职业生涯</w:t>
            </w:r>
            <w:r>
              <w:rPr>
                <w:rFonts w:hint="eastAsia" w:ascii="宋体" w:hAnsi="宋体" w:eastAsia="宋体" w:cs="宋体"/>
                <w:sz w:val="24"/>
                <w:szCs w:val="24"/>
                <w:lang w:eastAsia="zh-CN"/>
              </w:rPr>
              <w:t>、</w:t>
            </w:r>
            <w:r>
              <w:rPr>
                <w:rFonts w:ascii="宋体" w:hAnsi="宋体" w:eastAsia="宋体" w:cs="宋体"/>
                <w:sz w:val="24"/>
                <w:szCs w:val="24"/>
              </w:rPr>
              <w:t>哲学与人生</w:t>
            </w:r>
            <w:r>
              <w:rPr>
                <w:rFonts w:hint="eastAsia" w:ascii="宋体" w:hAnsi="宋体" w:eastAsia="宋体" w:cs="宋体"/>
                <w:sz w:val="24"/>
                <w:szCs w:val="24"/>
                <w:lang w:eastAsia="zh-CN"/>
              </w:rPr>
              <w:t>、</w:t>
            </w:r>
            <w:r>
              <w:rPr>
                <w:rFonts w:ascii="宋体" w:hAnsi="宋体" w:eastAsia="宋体" w:cs="宋体"/>
                <w:sz w:val="24"/>
                <w:szCs w:val="24"/>
              </w:rPr>
              <w:t>职业道德与法治</w:t>
            </w:r>
            <w:r>
              <w:rPr>
                <w:rFonts w:hint="eastAsia" w:ascii="宋体" w:hAnsi="宋体" w:eastAsia="宋体" w:cs="宋体"/>
                <w:sz w:val="24"/>
                <w:szCs w:val="24"/>
                <w:lang w:val="en-US" w:eastAsia="zh-CN"/>
              </w:rPr>
              <w:t>等</w:t>
            </w:r>
            <w:r>
              <w:rPr>
                <w:rFonts w:hint="eastAsia" w:ascii="仿宋_GB2312" w:hAnsi="仿宋_GB2312" w:eastAsia="仿宋_GB2312" w:cs="仿宋_GB2312"/>
                <w:color w:val="auto"/>
                <w:kern w:val="2"/>
                <w:sz w:val="24"/>
                <w:szCs w:val="32"/>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2"/>
                <w:szCs w:val="28"/>
                <w:lang w:eastAsia="zh-CN"/>
              </w:rPr>
            </w:pPr>
            <w:r>
              <w:rPr>
                <w:rFonts w:hint="eastAsia" w:ascii="黑体" w:hAnsi="黑体" w:eastAsia="黑体" w:cs="黑体"/>
                <w:snapToGrid/>
                <w:color w:val="auto"/>
                <w:kern w:val="2"/>
                <w:sz w:val="22"/>
                <w:szCs w:val="28"/>
                <w:lang w:eastAsia="zh-CN"/>
              </w:rPr>
              <w:t>省赛</w:t>
            </w:r>
            <w:r>
              <w:rPr>
                <w:rFonts w:hint="eastAsia" w:ascii="黑体" w:hAnsi="黑体" w:eastAsia="黑体" w:cs="黑体"/>
                <w:snapToGrid/>
                <w:color w:val="auto"/>
                <w:kern w:val="2"/>
                <w:sz w:val="22"/>
                <w:szCs w:val="28"/>
                <w:lang w:val="en-US" w:eastAsia="zh-CN"/>
              </w:rPr>
              <w:t>/国赛</w:t>
            </w:r>
            <w:r>
              <w:rPr>
                <w:rFonts w:hint="eastAsia" w:ascii="黑体" w:hAnsi="黑体" w:eastAsia="黑体" w:cs="黑体"/>
                <w:snapToGrid/>
                <w:color w:val="auto"/>
                <w:kern w:val="2"/>
                <w:sz w:val="22"/>
                <w:szCs w:val="28"/>
                <w:lang w:eastAsia="zh-CN"/>
              </w:rPr>
              <w:t>评审经历</w:t>
            </w:r>
          </w:p>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2"/>
                <w:szCs w:val="22"/>
                <w:lang w:val="en-US" w:eastAsia="zh-CN" w:bidi="ar-SA"/>
              </w:rPr>
            </w:pPr>
            <w:r>
              <w:rPr>
                <w:rFonts w:hint="eastAsia" w:ascii="黑体" w:hAnsi="黑体" w:eastAsia="黑体" w:cs="黑体"/>
                <w:snapToGrid/>
                <w:color w:val="auto"/>
                <w:kern w:val="2"/>
                <w:sz w:val="22"/>
                <w:szCs w:val="28"/>
                <w:lang w:eastAsia="zh-CN"/>
              </w:rPr>
              <w:t>（</w:t>
            </w:r>
            <w:r>
              <w:rPr>
                <w:rFonts w:hint="eastAsia" w:ascii="黑体" w:hAnsi="黑体" w:eastAsia="黑体" w:cs="黑体"/>
                <w:snapToGrid/>
                <w:color w:val="auto"/>
                <w:kern w:val="2"/>
                <w:sz w:val="22"/>
                <w:szCs w:val="28"/>
                <w:highlight w:val="none"/>
                <w:lang w:eastAsia="zh-CN"/>
              </w:rPr>
              <w:t>20</w:t>
            </w:r>
            <w:r>
              <w:rPr>
                <w:rFonts w:hint="eastAsia" w:ascii="黑体" w:hAnsi="黑体" w:eastAsia="黑体" w:cs="黑体"/>
                <w:snapToGrid/>
                <w:color w:val="auto"/>
                <w:kern w:val="2"/>
                <w:sz w:val="22"/>
                <w:szCs w:val="28"/>
                <w:highlight w:val="none"/>
                <w:lang w:val="en-US" w:eastAsia="zh-CN"/>
              </w:rPr>
              <w:t>21</w:t>
            </w:r>
            <w:r>
              <w:rPr>
                <w:rFonts w:hint="eastAsia" w:ascii="黑体" w:hAnsi="黑体" w:eastAsia="黑体" w:cs="黑体"/>
                <w:snapToGrid/>
                <w:color w:val="auto"/>
                <w:kern w:val="2"/>
                <w:sz w:val="22"/>
                <w:szCs w:val="28"/>
                <w:lang w:eastAsia="zh-CN"/>
              </w:rPr>
              <w:t>年以来）</w:t>
            </w:r>
          </w:p>
        </w:tc>
        <w:tc>
          <w:tcPr>
            <w:tcW w:w="6725" w:type="dxa"/>
            <w:gridSpan w:val="7"/>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1"/>
                <w:szCs w:val="24"/>
                <w:lang w:eastAsia="zh-CN"/>
              </w:rPr>
            </w:pPr>
            <w:r>
              <w:rPr>
                <w:rFonts w:hint="eastAsia" w:ascii="黑体" w:hAnsi="黑体" w:eastAsia="黑体" w:cs="黑体"/>
                <w:snapToGrid/>
                <w:color w:val="auto"/>
                <w:kern w:val="2"/>
                <w:sz w:val="21"/>
                <w:szCs w:val="24"/>
                <w:lang w:val="en-US" w:eastAsia="zh-CN"/>
              </w:rPr>
              <w:t>指导</w:t>
            </w:r>
            <w:r>
              <w:rPr>
                <w:rFonts w:hint="eastAsia" w:ascii="黑体" w:hAnsi="黑体" w:eastAsia="黑体" w:cs="黑体"/>
                <w:snapToGrid/>
                <w:color w:val="auto"/>
                <w:kern w:val="2"/>
                <w:sz w:val="21"/>
                <w:szCs w:val="24"/>
                <w:lang w:eastAsia="zh-CN"/>
              </w:rPr>
              <w:t>省赛/国赛获奖情况</w:t>
            </w:r>
          </w:p>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4"/>
                <w:szCs w:val="24"/>
                <w:lang w:eastAsia="zh-CN"/>
              </w:rPr>
            </w:pPr>
            <w:r>
              <w:rPr>
                <w:rFonts w:hint="eastAsia" w:ascii="黑体" w:hAnsi="黑体" w:eastAsia="黑体" w:cs="黑体"/>
                <w:snapToGrid/>
                <w:color w:val="auto"/>
                <w:kern w:val="2"/>
                <w:sz w:val="21"/>
                <w:szCs w:val="24"/>
                <w:lang w:eastAsia="zh-CN"/>
              </w:rPr>
              <w:t>（</w:t>
            </w:r>
            <w:r>
              <w:rPr>
                <w:rFonts w:hint="eastAsia" w:ascii="黑体" w:hAnsi="黑体" w:eastAsia="黑体" w:cs="黑体"/>
                <w:snapToGrid/>
                <w:color w:val="auto"/>
                <w:kern w:val="2"/>
                <w:sz w:val="21"/>
                <w:szCs w:val="24"/>
                <w:highlight w:val="none"/>
                <w:lang w:eastAsia="zh-CN"/>
              </w:rPr>
              <w:t>20</w:t>
            </w:r>
            <w:r>
              <w:rPr>
                <w:rFonts w:hint="eastAsia" w:ascii="黑体" w:hAnsi="黑体" w:eastAsia="黑体" w:cs="黑体"/>
                <w:snapToGrid/>
                <w:color w:val="auto"/>
                <w:kern w:val="2"/>
                <w:sz w:val="21"/>
                <w:szCs w:val="24"/>
                <w:highlight w:val="none"/>
                <w:lang w:val="en-US" w:eastAsia="zh-CN"/>
              </w:rPr>
              <w:t>21</w:t>
            </w:r>
            <w:r>
              <w:rPr>
                <w:rFonts w:hint="eastAsia" w:ascii="黑体" w:hAnsi="黑体" w:eastAsia="黑体" w:cs="黑体"/>
                <w:snapToGrid/>
                <w:color w:val="auto"/>
                <w:kern w:val="2"/>
                <w:sz w:val="21"/>
                <w:szCs w:val="24"/>
                <w:lang w:eastAsia="zh-CN"/>
              </w:rPr>
              <w:t>年以来）</w:t>
            </w:r>
          </w:p>
        </w:tc>
        <w:tc>
          <w:tcPr>
            <w:tcW w:w="6725" w:type="dxa"/>
            <w:gridSpan w:val="7"/>
            <w:noWrap w:val="0"/>
            <w:vAlign w:val="center"/>
          </w:tcPr>
          <w:p>
            <w:pPr>
              <w:widowControl w:val="0"/>
              <w:kinsoku/>
              <w:autoSpaceDE/>
              <w:autoSpaceDN/>
              <w:adjustRightInd w:val="0"/>
              <w:snapToGrid w:val="0"/>
              <w:spacing w:line="400" w:lineRule="exact"/>
              <w:jc w:val="center"/>
              <w:textAlignment w:val="auto"/>
              <w:rPr>
                <w:rFonts w:hint="eastAsia" w:ascii="仿宋_GB2312" w:hAnsi="仿宋_GB2312" w:eastAsia="仿宋_GB2312" w:cs="仿宋_GB2312"/>
                <w:snapToGrid/>
                <w:color w:val="auto"/>
                <w:kern w:val="2"/>
                <w:sz w:val="24"/>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1"/>
                <w:szCs w:val="24"/>
                <w:lang w:eastAsia="zh-CN"/>
              </w:rPr>
            </w:pPr>
            <w:r>
              <w:rPr>
                <w:rFonts w:hint="eastAsia" w:ascii="黑体" w:hAnsi="黑体" w:eastAsia="黑体" w:cs="黑体"/>
                <w:snapToGrid/>
                <w:color w:val="auto"/>
                <w:kern w:val="2"/>
                <w:sz w:val="21"/>
                <w:szCs w:val="24"/>
                <w:lang w:eastAsia="zh-CN"/>
              </w:rPr>
              <w:t>参加省赛/国赛获奖情况</w:t>
            </w:r>
          </w:p>
          <w:p>
            <w:pPr>
              <w:widowControl w:val="0"/>
              <w:kinsoku/>
              <w:autoSpaceDE/>
              <w:autoSpaceDN/>
              <w:adjustRightInd/>
              <w:snapToGrid/>
              <w:spacing w:line="240" w:lineRule="auto"/>
              <w:jc w:val="center"/>
              <w:textAlignment w:val="auto"/>
              <w:rPr>
                <w:rFonts w:hint="eastAsia" w:ascii="黑体" w:hAnsi="黑体" w:eastAsia="黑体" w:cs="黑体"/>
                <w:snapToGrid/>
                <w:color w:val="auto"/>
                <w:kern w:val="2"/>
                <w:sz w:val="21"/>
                <w:szCs w:val="21"/>
                <w:lang w:val="en-US" w:eastAsia="zh-CN" w:bidi="ar-SA"/>
              </w:rPr>
            </w:pPr>
            <w:r>
              <w:rPr>
                <w:rFonts w:hint="eastAsia" w:ascii="黑体" w:hAnsi="黑体" w:eastAsia="黑体" w:cs="黑体"/>
                <w:snapToGrid/>
                <w:color w:val="auto"/>
                <w:kern w:val="2"/>
                <w:sz w:val="21"/>
                <w:szCs w:val="24"/>
                <w:lang w:eastAsia="zh-CN"/>
              </w:rPr>
              <w:t>（</w:t>
            </w:r>
            <w:r>
              <w:rPr>
                <w:rFonts w:hint="eastAsia" w:ascii="黑体" w:hAnsi="黑体" w:eastAsia="黑体" w:cs="黑体"/>
                <w:snapToGrid/>
                <w:color w:val="auto"/>
                <w:kern w:val="2"/>
                <w:sz w:val="21"/>
                <w:szCs w:val="24"/>
                <w:highlight w:val="none"/>
                <w:lang w:eastAsia="zh-CN"/>
              </w:rPr>
              <w:t>20</w:t>
            </w:r>
            <w:r>
              <w:rPr>
                <w:rFonts w:hint="eastAsia" w:ascii="黑体" w:hAnsi="黑体" w:eastAsia="黑体" w:cs="黑体"/>
                <w:snapToGrid/>
                <w:color w:val="auto"/>
                <w:kern w:val="2"/>
                <w:sz w:val="21"/>
                <w:szCs w:val="24"/>
                <w:highlight w:val="none"/>
                <w:lang w:val="en-US" w:eastAsia="zh-CN"/>
              </w:rPr>
              <w:t>21</w:t>
            </w:r>
            <w:r>
              <w:rPr>
                <w:rFonts w:hint="eastAsia" w:ascii="黑体" w:hAnsi="黑体" w:eastAsia="黑体" w:cs="黑体"/>
                <w:snapToGrid/>
                <w:color w:val="auto"/>
                <w:kern w:val="2"/>
                <w:sz w:val="21"/>
                <w:szCs w:val="24"/>
                <w:lang w:eastAsia="zh-CN"/>
              </w:rPr>
              <w:t>年以来）</w:t>
            </w:r>
          </w:p>
        </w:tc>
        <w:tc>
          <w:tcPr>
            <w:tcW w:w="6725" w:type="dxa"/>
            <w:gridSpan w:val="7"/>
            <w:noWrap w:val="0"/>
            <w:vAlign w:val="center"/>
          </w:tcPr>
          <w:p>
            <w:pPr>
              <w:pStyle w:val="24"/>
              <w:adjustRightInd w:val="0"/>
              <w:snapToGrid w:val="0"/>
              <w:spacing w:line="400" w:lineRule="exact"/>
              <w:rPr>
                <w:rFonts w:hint="default"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79" w:type="dxa"/>
            <w:noWrap w:val="0"/>
            <w:vAlign w:val="center"/>
          </w:tcPr>
          <w:p>
            <w:pPr>
              <w:widowControl w:val="0"/>
              <w:kinsoku/>
              <w:autoSpaceDE/>
              <w:autoSpaceDN/>
              <w:adjustRightInd/>
              <w:snapToGrid/>
              <w:spacing w:line="380" w:lineRule="exact"/>
              <w:jc w:val="center"/>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教学成果</w:t>
            </w:r>
          </w:p>
        </w:tc>
        <w:tc>
          <w:tcPr>
            <w:tcW w:w="6725" w:type="dxa"/>
            <w:gridSpan w:val="7"/>
            <w:noWrap w:val="0"/>
            <w:vAlign w:val="top"/>
          </w:tcPr>
          <w:p>
            <w:pPr>
              <w:pStyle w:val="24"/>
              <w:adjustRightInd w:val="0"/>
              <w:snapToGrid w:val="0"/>
              <w:spacing w:line="24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kern w:val="2"/>
                <w:sz w:val="24"/>
                <w:szCs w:val="32"/>
                <w:lang w:val="en-US" w:eastAsia="zh-CN" w:bidi="ar-SA"/>
              </w:rPr>
              <w:t>（例：</w:t>
            </w:r>
            <w:r>
              <w:rPr>
                <w:rFonts w:hint="eastAsia" w:ascii="仿宋_GB2312" w:hAnsi="仿宋_GB2312" w:eastAsia="仿宋_GB2312" w:cs="仿宋_GB2312"/>
                <w:snapToGrid/>
                <w:color w:val="auto"/>
                <w:kern w:val="2"/>
                <w:sz w:val="24"/>
                <w:szCs w:val="32"/>
                <w:lang w:eastAsia="zh-CN"/>
              </w:rPr>
              <w:t>国家级、省级德育名师和名班主任、班主任工作室主持人、课程思政教育教学改革项目负责人，省级以上教学名师，国家级教学成果二等奖以上主持人，二级教授等</w:t>
            </w:r>
            <w:r>
              <w:rPr>
                <w:rFonts w:hint="eastAsia" w:ascii="仿宋_GB2312" w:hAnsi="仿宋_GB2312" w:eastAsia="仿宋_GB2312" w:cs="仿宋_GB2312"/>
                <w:color w:val="auto"/>
                <w:kern w:val="2"/>
                <w:sz w:val="24"/>
                <w:szCs w:val="32"/>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04" w:type="dxa"/>
            <w:gridSpan w:val="8"/>
            <w:tcBorders>
              <w:bottom w:val="single" w:color="auto" w:sz="8" w:space="0"/>
            </w:tcBorders>
            <w:noWrap w:val="0"/>
            <w:vAlign w:val="top"/>
          </w:tcPr>
          <w:p>
            <w:pPr>
              <w:widowControl w:val="0"/>
              <w:kinsoku/>
              <w:autoSpaceDE/>
              <w:autoSpaceDN/>
              <w:adjustRightInd/>
              <w:snapToGrid/>
              <w:spacing w:line="380" w:lineRule="exact"/>
              <w:ind w:firstLine="480" w:firstLineChars="200"/>
              <w:jc w:val="both"/>
              <w:textAlignment w:val="auto"/>
              <w:rPr>
                <w:rFonts w:hint="eastAsia" w:ascii="黑体" w:hAnsi="黑体" w:eastAsia="黑体" w:cs="黑体"/>
                <w:snapToGrid/>
                <w:color w:val="auto"/>
                <w:kern w:val="2"/>
                <w:sz w:val="24"/>
                <w:szCs w:val="32"/>
                <w:lang w:eastAsia="zh-CN"/>
              </w:rPr>
            </w:pPr>
            <w:r>
              <w:rPr>
                <w:rFonts w:hint="eastAsia" w:ascii="黑体" w:hAnsi="黑体" w:eastAsia="黑体" w:cs="黑体"/>
                <w:snapToGrid/>
                <w:color w:val="auto"/>
                <w:kern w:val="2"/>
                <w:sz w:val="24"/>
                <w:szCs w:val="32"/>
                <w:lang w:eastAsia="zh-CN"/>
              </w:rPr>
              <w:t>推荐单位意见：</w:t>
            </w:r>
          </w:p>
          <w:p>
            <w:pPr>
              <w:pStyle w:val="24"/>
              <w:widowControl w:val="0"/>
              <w:adjustRightInd w:val="0"/>
              <w:snapToGrid w:val="0"/>
              <w:spacing w:line="400" w:lineRule="exact"/>
              <w:jc w:val="both"/>
              <w:rPr>
                <w:rFonts w:hint="eastAsia" w:ascii="仿宋_GB2312" w:hAnsi="仿宋_GB2312" w:eastAsia="仿宋_GB2312" w:cs="仿宋_GB2312"/>
                <w:color w:val="auto"/>
                <w:sz w:val="24"/>
              </w:rPr>
            </w:pPr>
          </w:p>
          <w:p>
            <w:pPr>
              <w:widowControl w:val="0"/>
              <w:kinsoku/>
              <w:wordWrap w:val="0"/>
              <w:autoSpaceDE/>
              <w:autoSpaceDN/>
              <w:adjustRightInd w:val="0"/>
              <w:snapToGrid w:val="0"/>
              <w:spacing w:line="400" w:lineRule="exact"/>
              <w:jc w:val="right"/>
              <w:textAlignment w:val="auto"/>
              <w:rPr>
                <w:rFonts w:hint="default" w:ascii="仿宋_GB2312" w:hAnsi="仿宋_GB2312" w:eastAsia="仿宋_GB2312" w:cs="仿宋_GB2312"/>
                <w:snapToGrid/>
                <w:color w:val="auto"/>
                <w:kern w:val="2"/>
                <w:sz w:val="24"/>
                <w:szCs w:val="32"/>
                <w:lang w:val="en-US" w:eastAsia="zh-CN"/>
              </w:rPr>
            </w:pPr>
            <w:r>
              <w:rPr>
                <w:rFonts w:hint="eastAsia" w:ascii="黑体" w:hAnsi="黑体" w:eastAsia="黑体" w:cs="黑体"/>
                <w:snapToGrid/>
                <w:color w:val="auto"/>
                <w:kern w:val="2"/>
                <w:sz w:val="24"/>
                <w:szCs w:val="32"/>
                <w:lang w:val="en-US" w:eastAsia="zh-CN"/>
              </w:rPr>
              <w:t>单位</w:t>
            </w:r>
            <w:r>
              <w:rPr>
                <w:rFonts w:hint="eastAsia" w:ascii="黑体" w:hAnsi="黑体" w:eastAsia="黑体" w:cs="黑体"/>
                <w:snapToGrid/>
                <w:color w:val="auto"/>
                <w:kern w:val="2"/>
                <w:sz w:val="24"/>
                <w:szCs w:val="32"/>
                <w:lang w:eastAsia="zh-CN"/>
              </w:rPr>
              <w:t>名称（盖章）</w:t>
            </w:r>
            <w:r>
              <w:rPr>
                <w:rFonts w:hint="eastAsia" w:ascii="仿宋_GB2312" w:hAnsi="仿宋_GB2312" w:eastAsia="仿宋_GB2312" w:cs="仿宋_GB2312"/>
                <w:snapToGrid/>
                <w:color w:val="auto"/>
                <w:kern w:val="2"/>
                <w:sz w:val="24"/>
                <w:szCs w:val="32"/>
                <w:lang w:val="en-US" w:eastAsia="zh-CN"/>
              </w:rPr>
              <w:t xml:space="preserve">        </w:t>
            </w:r>
          </w:p>
          <w:p>
            <w:pPr>
              <w:widowControl w:val="0"/>
              <w:kinsoku/>
              <w:wordWrap w:val="0"/>
              <w:autoSpaceDE/>
              <w:autoSpaceDN/>
              <w:adjustRightInd w:val="0"/>
              <w:snapToGrid w:val="0"/>
              <w:spacing w:line="400" w:lineRule="exact"/>
              <w:jc w:val="right"/>
              <w:textAlignment w:val="auto"/>
              <w:rPr>
                <w:rFonts w:hint="default" w:ascii="仿宋_GB2312" w:hAnsi="仿宋_GB2312" w:eastAsia="仿宋_GB2312" w:cs="仿宋_GB2312"/>
                <w:snapToGrid/>
                <w:color w:val="auto"/>
                <w:kern w:val="2"/>
                <w:sz w:val="24"/>
                <w:szCs w:val="32"/>
                <w:lang w:val="en-US" w:eastAsia="zh-CN"/>
              </w:rPr>
            </w:pPr>
            <w:r>
              <w:rPr>
                <w:rFonts w:hint="eastAsia" w:ascii="黑体" w:hAnsi="黑体" w:eastAsia="黑体" w:cs="黑体"/>
                <w:snapToGrid/>
                <w:color w:val="auto"/>
                <w:kern w:val="2"/>
                <w:sz w:val="24"/>
                <w:szCs w:val="32"/>
                <w:lang w:eastAsia="zh-CN"/>
              </w:rPr>
              <w:t>年  月  日</w:t>
            </w:r>
            <w:r>
              <w:rPr>
                <w:rFonts w:hint="eastAsia" w:ascii="黑体" w:hAnsi="黑体" w:eastAsia="黑体" w:cs="黑体"/>
                <w:snapToGrid/>
                <w:color w:val="auto"/>
                <w:kern w:val="2"/>
                <w:sz w:val="24"/>
                <w:szCs w:val="32"/>
                <w:lang w:val="en-US" w:eastAsia="zh-CN"/>
              </w:rPr>
              <w:t xml:space="preserve">   </w:t>
            </w:r>
            <w:r>
              <w:rPr>
                <w:rFonts w:hint="eastAsia" w:ascii="仿宋_GB2312" w:hAnsi="仿宋_GB2312" w:eastAsia="仿宋_GB2312" w:cs="仿宋_GB2312"/>
                <w:snapToGrid/>
                <w:color w:val="auto"/>
                <w:kern w:val="2"/>
                <w:sz w:val="24"/>
                <w:szCs w:val="32"/>
                <w:lang w:val="en-US" w:eastAsia="zh-CN"/>
              </w:rPr>
              <w:t xml:space="preserve">         </w:t>
            </w:r>
          </w:p>
        </w:tc>
      </w:tr>
    </w:tbl>
    <w:p>
      <w:pPr>
        <w:rPr>
          <w:rFonts w:hint="eastAsia" w:hAnsi="黑体"/>
          <w:color w:val="auto"/>
          <w:sz w:val="32"/>
          <w:szCs w:val="32"/>
          <w:lang w:bidi="ar"/>
        </w:rPr>
        <w:sectPr>
          <w:footerReference r:id="rId11" w:type="default"/>
          <w:pgSz w:w="11906" w:h="16838"/>
          <w:pgMar w:top="1417" w:right="1304" w:bottom="1304" w:left="1701" w:header="851" w:footer="992" w:gutter="0"/>
          <w:pgNumType w:fmt="numberInDash"/>
          <w:cols w:space="720" w:num="1"/>
          <w:docGrid w:type="lines" w:linePitch="312" w:charSpace="0"/>
        </w:sectPr>
      </w:pPr>
    </w:p>
    <w:p>
      <w:pPr>
        <w:widowControl w:val="0"/>
        <w:kinsoku/>
        <w:autoSpaceDE/>
        <w:autoSpaceDN/>
        <w:adjustRightInd/>
        <w:snapToGrid/>
        <w:spacing w:line="240" w:lineRule="auto"/>
        <w:jc w:val="both"/>
        <w:textAlignment w:val="auto"/>
        <w:rPr>
          <w:rFonts w:hint="eastAsia" w:ascii="黑体" w:hAnsi="黑体" w:eastAsia="黑体" w:cs="黑体"/>
          <w:snapToGrid/>
          <w:color w:val="auto"/>
          <w:kern w:val="2"/>
          <w:sz w:val="32"/>
          <w:szCs w:val="32"/>
          <w:u w:val="none"/>
          <w:lang w:eastAsia="zh-CN" w:bidi="ar"/>
        </w:rPr>
      </w:pPr>
      <w:r>
        <w:rPr>
          <w:rFonts w:hint="eastAsia" w:ascii="黑体" w:hAnsi="黑体" w:eastAsia="黑体" w:cs="黑体"/>
          <w:snapToGrid/>
          <w:color w:val="auto"/>
          <w:kern w:val="2"/>
          <w:sz w:val="32"/>
          <w:szCs w:val="32"/>
          <w:u w:val="none"/>
          <w:lang w:eastAsia="zh-CN" w:bidi="ar"/>
        </w:rPr>
        <w:t>表2</w:t>
      </w:r>
    </w:p>
    <w:p>
      <w:pPr>
        <w:pStyle w:val="2"/>
        <w:rPr>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napToGrid/>
          <w:color w:val="auto"/>
          <w:kern w:val="0"/>
          <w:sz w:val="44"/>
          <w:szCs w:val="44"/>
          <w:lang w:bidi="ar"/>
        </w:rPr>
      </w:pPr>
      <w:r>
        <w:rPr>
          <w:rFonts w:hint="eastAsia" w:ascii="方正小标宋简体" w:hAnsi="方正小标宋简体" w:eastAsia="方正小标宋简体" w:cs="方正小标宋简体"/>
          <w:b w:val="0"/>
          <w:bCs w:val="0"/>
          <w:snapToGrid/>
          <w:color w:val="auto"/>
          <w:kern w:val="0"/>
          <w:sz w:val="44"/>
          <w:szCs w:val="44"/>
          <w:lang w:bidi="ar"/>
        </w:rPr>
        <w:t>福建省职业院校技能大赛思想政治教育课程教学能力比赛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napToGrid/>
          <w:color w:val="auto"/>
          <w:kern w:val="0"/>
          <w:sz w:val="44"/>
          <w:szCs w:val="44"/>
          <w:lang w:bidi="ar"/>
        </w:rPr>
      </w:pPr>
      <w:r>
        <w:rPr>
          <w:rFonts w:hint="eastAsia" w:ascii="方正小标宋简体" w:hAnsi="方正小标宋简体" w:eastAsia="方正小标宋简体" w:cs="方正小标宋简体"/>
          <w:b w:val="0"/>
          <w:bCs w:val="0"/>
          <w:snapToGrid/>
          <w:color w:val="auto"/>
          <w:kern w:val="0"/>
          <w:sz w:val="44"/>
          <w:szCs w:val="44"/>
          <w:lang w:bidi="ar"/>
        </w:rPr>
        <w:t>和中等职业学校班主任能力比赛专家推荐汇总表</w:t>
      </w:r>
    </w:p>
    <w:p>
      <w:pPr>
        <w:rPr>
          <w:rFonts w:hint="eastAsia"/>
        </w:rPr>
      </w:pPr>
    </w:p>
    <w:p>
      <w:pPr>
        <w:widowControl w:val="0"/>
        <w:kinsoku/>
        <w:autoSpaceDE/>
        <w:autoSpaceDN/>
        <w:adjustRightInd/>
        <w:snapToGrid/>
        <w:spacing w:line="240" w:lineRule="auto"/>
        <w:jc w:val="both"/>
        <w:textAlignment w:val="auto"/>
        <w:rPr>
          <w:rFonts w:hint="eastAsia" w:ascii="黑体" w:hAnsi="黑体" w:eastAsia="黑体" w:cs="黑体"/>
          <w:snapToGrid/>
          <w:color w:val="auto"/>
          <w:kern w:val="2"/>
          <w:sz w:val="32"/>
          <w:szCs w:val="32"/>
          <w:lang w:eastAsia="zh-CN"/>
        </w:rPr>
      </w:pPr>
      <w:r>
        <w:rPr>
          <w:rFonts w:hint="eastAsia" w:ascii="黑体" w:hAnsi="黑体" w:eastAsia="黑体" w:cs="黑体"/>
          <w:snapToGrid/>
          <w:color w:val="auto"/>
          <w:kern w:val="0"/>
          <w:sz w:val="22"/>
          <w:szCs w:val="22"/>
          <w:lang w:eastAsia="zh-CN" w:bidi="ar"/>
        </w:rPr>
        <w:t>推荐单位</w:t>
      </w:r>
      <w:r>
        <w:rPr>
          <w:rFonts w:hint="eastAsia" w:ascii="黑体" w:hAnsi="黑体" w:eastAsia="黑体" w:cs="黑体"/>
          <w:snapToGrid/>
          <w:color w:val="auto"/>
          <w:kern w:val="2"/>
          <w:sz w:val="22"/>
          <w:szCs w:val="22"/>
          <w:u w:val="none"/>
          <w:lang w:eastAsia="zh-CN" w:bidi="ar"/>
        </w:rPr>
        <w:t>（盖章）</w:t>
      </w:r>
      <w:r>
        <w:rPr>
          <w:rStyle w:val="25"/>
          <w:rFonts w:hint="eastAsia" w:ascii="黑体" w:hAnsi="黑体" w:eastAsia="黑体" w:cs="黑体"/>
          <w:snapToGrid/>
          <w:color w:val="auto"/>
          <w:kern w:val="2"/>
          <w:lang w:eastAsia="zh-CN" w:bidi="ar"/>
        </w:rPr>
        <w:t>：</w:t>
      </w:r>
    </w:p>
    <w:tbl>
      <w:tblPr>
        <w:tblStyle w:val="10"/>
        <w:tblW w:w="4995"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437"/>
        <w:gridCol w:w="739"/>
        <w:gridCol w:w="724"/>
        <w:gridCol w:w="700"/>
        <w:gridCol w:w="1188"/>
        <w:gridCol w:w="1111"/>
        <w:gridCol w:w="1077"/>
        <w:gridCol w:w="1374"/>
        <w:gridCol w:w="1352"/>
        <w:gridCol w:w="1326"/>
        <w:gridCol w:w="1315"/>
        <w:gridCol w:w="1098"/>
        <w:gridCol w:w="80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6"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序号</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姓名</w:t>
            </w:r>
          </w:p>
        </w:tc>
        <w:tc>
          <w:tcPr>
            <w:tcW w:w="2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性别</w:t>
            </w:r>
          </w:p>
        </w:tc>
        <w:tc>
          <w:tcPr>
            <w:tcW w:w="2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黑体" w:hAnsi="宋体" w:eastAsia="黑体" w:cs="黑体"/>
                <w:snapToGrid/>
                <w:color w:val="auto"/>
                <w:kern w:val="0"/>
                <w:sz w:val="22"/>
                <w:szCs w:val="22"/>
                <w:lang w:val="en-US" w:eastAsia="zh-CN" w:bidi="ar"/>
              </w:rPr>
            </w:pPr>
            <w:r>
              <w:rPr>
                <w:rFonts w:hint="eastAsia" w:ascii="黑体" w:hAnsi="宋体" w:eastAsia="黑体" w:cs="黑体"/>
                <w:snapToGrid/>
                <w:color w:val="auto"/>
                <w:kern w:val="0"/>
                <w:sz w:val="22"/>
                <w:szCs w:val="22"/>
                <w:lang w:val="en-US" w:eastAsia="zh-CN" w:bidi="ar"/>
              </w:rPr>
              <w:t>年龄</w:t>
            </w:r>
          </w:p>
        </w:tc>
        <w:tc>
          <w:tcPr>
            <w:tcW w:w="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职称/职务</w:t>
            </w:r>
          </w:p>
        </w:tc>
        <w:tc>
          <w:tcPr>
            <w:tcW w:w="4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工作单位</w:t>
            </w:r>
          </w:p>
        </w:tc>
        <w:tc>
          <w:tcPr>
            <w:tcW w:w="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擅长专业领域</w:t>
            </w:r>
          </w:p>
        </w:tc>
        <w:tc>
          <w:tcPr>
            <w:tcW w:w="5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20</w:t>
            </w:r>
            <w:r>
              <w:rPr>
                <w:rFonts w:hint="eastAsia" w:ascii="黑体" w:hAnsi="宋体" w:eastAsia="黑体" w:cs="黑体"/>
                <w:snapToGrid/>
                <w:color w:val="auto"/>
                <w:kern w:val="0"/>
                <w:sz w:val="22"/>
                <w:szCs w:val="22"/>
                <w:highlight w:val="none"/>
                <w:lang w:val="en-US" w:eastAsia="zh-CN" w:bidi="ar"/>
              </w:rPr>
              <w:t>21</w:t>
            </w:r>
            <w:r>
              <w:rPr>
                <w:rFonts w:hint="eastAsia" w:ascii="黑体" w:hAnsi="宋体" w:eastAsia="黑体" w:cs="黑体"/>
                <w:snapToGrid/>
                <w:color w:val="auto"/>
                <w:kern w:val="0"/>
                <w:sz w:val="22"/>
                <w:szCs w:val="22"/>
                <w:highlight w:val="none"/>
                <w:lang w:eastAsia="zh-CN" w:bidi="ar"/>
              </w:rPr>
              <w:t>年以来评审经历</w:t>
            </w:r>
          </w:p>
        </w:tc>
        <w:tc>
          <w:tcPr>
            <w:tcW w:w="5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snapToGrid/>
                <w:color w:val="auto"/>
                <w:kern w:val="0"/>
                <w:sz w:val="22"/>
                <w:szCs w:val="22"/>
                <w:highlight w:val="none"/>
                <w:lang w:eastAsia="zh-CN" w:bidi="ar"/>
              </w:rPr>
            </w:pPr>
            <w:r>
              <w:rPr>
                <w:rFonts w:hint="eastAsia" w:ascii="黑体" w:hAnsi="宋体" w:eastAsia="黑体" w:cs="黑体"/>
                <w:snapToGrid/>
                <w:color w:val="auto"/>
                <w:kern w:val="0"/>
                <w:sz w:val="22"/>
                <w:szCs w:val="22"/>
                <w:highlight w:val="none"/>
                <w:lang w:eastAsia="zh-CN" w:bidi="ar"/>
              </w:rPr>
              <w:t>20</w:t>
            </w:r>
            <w:r>
              <w:rPr>
                <w:rFonts w:hint="eastAsia" w:ascii="黑体" w:hAnsi="宋体" w:eastAsia="黑体" w:cs="黑体"/>
                <w:snapToGrid/>
                <w:color w:val="auto"/>
                <w:kern w:val="0"/>
                <w:sz w:val="22"/>
                <w:szCs w:val="22"/>
                <w:highlight w:val="none"/>
                <w:lang w:val="en-US" w:eastAsia="zh-CN" w:bidi="ar"/>
              </w:rPr>
              <w:t>21</w:t>
            </w:r>
            <w:r>
              <w:rPr>
                <w:rFonts w:hint="eastAsia" w:ascii="黑体" w:hAnsi="宋体" w:eastAsia="黑体" w:cs="黑体"/>
                <w:snapToGrid/>
                <w:color w:val="auto"/>
                <w:kern w:val="0"/>
                <w:sz w:val="22"/>
                <w:szCs w:val="22"/>
                <w:highlight w:val="none"/>
                <w:lang w:eastAsia="zh-CN" w:bidi="ar"/>
              </w:rPr>
              <w:t>年以来</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带赛经历</w:t>
            </w:r>
          </w:p>
        </w:tc>
        <w:tc>
          <w:tcPr>
            <w:tcW w:w="5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snapToGrid/>
                <w:color w:val="auto"/>
                <w:kern w:val="0"/>
                <w:sz w:val="22"/>
                <w:szCs w:val="22"/>
                <w:highlight w:val="none"/>
                <w:lang w:eastAsia="zh-CN" w:bidi="ar"/>
              </w:rPr>
            </w:pPr>
            <w:r>
              <w:rPr>
                <w:rFonts w:hint="eastAsia" w:ascii="黑体" w:hAnsi="宋体" w:eastAsia="黑体" w:cs="黑体"/>
                <w:snapToGrid/>
                <w:color w:val="auto"/>
                <w:kern w:val="0"/>
                <w:sz w:val="22"/>
                <w:szCs w:val="22"/>
                <w:highlight w:val="none"/>
                <w:lang w:eastAsia="zh-CN" w:bidi="ar"/>
              </w:rPr>
              <w:t>20</w:t>
            </w:r>
            <w:r>
              <w:rPr>
                <w:rFonts w:hint="eastAsia" w:ascii="黑体" w:hAnsi="宋体" w:eastAsia="黑体" w:cs="黑体"/>
                <w:snapToGrid/>
                <w:color w:val="auto"/>
                <w:kern w:val="0"/>
                <w:sz w:val="22"/>
                <w:szCs w:val="22"/>
                <w:highlight w:val="none"/>
                <w:lang w:val="en-US" w:eastAsia="zh-CN" w:bidi="ar"/>
              </w:rPr>
              <w:t>21</w:t>
            </w:r>
            <w:r>
              <w:rPr>
                <w:rFonts w:hint="eastAsia" w:ascii="黑体" w:hAnsi="宋体" w:eastAsia="黑体" w:cs="黑体"/>
                <w:snapToGrid/>
                <w:color w:val="auto"/>
                <w:kern w:val="0"/>
                <w:sz w:val="22"/>
                <w:szCs w:val="22"/>
                <w:highlight w:val="none"/>
                <w:lang w:eastAsia="zh-CN" w:bidi="ar"/>
              </w:rPr>
              <w:t>年以来参赛经历</w:t>
            </w:r>
          </w:p>
        </w:tc>
        <w:tc>
          <w:tcPr>
            <w:tcW w:w="4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snapToGrid/>
                <w:color w:val="auto"/>
                <w:kern w:val="0"/>
                <w:sz w:val="22"/>
                <w:szCs w:val="22"/>
                <w:highlight w:val="none"/>
                <w:lang w:eastAsia="zh-CN" w:bidi="ar"/>
              </w:rPr>
            </w:pPr>
            <w:r>
              <w:rPr>
                <w:rFonts w:hint="eastAsia" w:ascii="黑体" w:hAnsi="宋体" w:eastAsia="黑体" w:cs="黑体"/>
                <w:snapToGrid/>
                <w:color w:val="auto"/>
                <w:kern w:val="0"/>
                <w:sz w:val="22"/>
                <w:szCs w:val="22"/>
                <w:highlight w:val="none"/>
                <w:lang w:eastAsia="zh-CN" w:bidi="ar"/>
              </w:rPr>
              <w:t>教学成果</w:t>
            </w:r>
          </w:p>
        </w:tc>
        <w:tc>
          <w:tcPr>
            <w:tcW w:w="4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手机号码</w:t>
            </w:r>
          </w:p>
        </w:tc>
        <w:tc>
          <w:tcPr>
            <w:tcW w:w="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snapToGrid/>
                <w:color w:val="auto"/>
                <w:kern w:val="2"/>
                <w:sz w:val="22"/>
                <w:szCs w:val="22"/>
                <w:highlight w:val="none"/>
                <w:lang w:eastAsia="zh-CN"/>
              </w:rPr>
            </w:pPr>
            <w:r>
              <w:rPr>
                <w:rFonts w:hint="eastAsia" w:ascii="黑体" w:hAnsi="宋体" w:eastAsia="黑体" w:cs="黑体"/>
                <w:snapToGrid/>
                <w:color w:val="auto"/>
                <w:kern w:val="0"/>
                <w:sz w:val="22"/>
                <w:szCs w:val="22"/>
                <w:highlight w:val="none"/>
                <w:lang w:eastAsia="zh-CN" w:bidi="ar"/>
              </w:rPr>
              <w:t>电子邮箱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1</w:t>
            </w:r>
          </w:p>
        </w:tc>
        <w:tc>
          <w:tcPr>
            <w:tcW w:w="27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2</w:t>
            </w:r>
          </w:p>
        </w:tc>
        <w:tc>
          <w:tcPr>
            <w:tcW w:w="27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0"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3</w:t>
            </w:r>
          </w:p>
        </w:tc>
        <w:tc>
          <w:tcPr>
            <w:tcW w:w="27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1"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0" w:hRule="exact"/>
          <w:jc w:val="center"/>
        </w:trPr>
        <w:tc>
          <w:tcPr>
            <w:tcW w:w="165" w:type="pct"/>
            <w:tcBorders>
              <w:top w:val="single" w:color="auto" w:sz="4" w:space="0"/>
              <w:left w:val="single" w:color="auto" w:sz="4" w:space="0"/>
              <w:bottom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黑体" w:hAnsi="宋体" w:eastAsia="黑体" w:cs="黑体"/>
                <w:snapToGrid/>
                <w:color w:val="auto"/>
                <w:kern w:val="2"/>
                <w:sz w:val="22"/>
                <w:szCs w:val="22"/>
                <w:lang w:eastAsia="zh-CN"/>
              </w:rPr>
            </w:pPr>
            <w:r>
              <w:rPr>
                <w:rFonts w:hint="eastAsia" w:ascii="黑体" w:hAnsi="宋体" w:eastAsia="黑体" w:cs="黑体"/>
                <w:snapToGrid/>
                <w:color w:val="auto"/>
                <w:kern w:val="0"/>
                <w:sz w:val="22"/>
                <w:szCs w:val="22"/>
                <w:lang w:eastAsia="zh-CN" w:bidi="ar"/>
              </w:rPr>
              <w:t>5</w:t>
            </w:r>
          </w:p>
        </w:tc>
        <w:tc>
          <w:tcPr>
            <w:tcW w:w="27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bottom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165" w:type="pct"/>
            <w:tcBorders>
              <w:top w:val="single" w:color="auto" w:sz="4" w:space="0"/>
              <w:left w:val="single" w:color="auto" w:sz="4" w:space="0"/>
              <w:right w:val="single" w:color="auto" w:sz="4" w:space="0"/>
            </w:tcBorders>
            <w:noWrap w:val="0"/>
            <w:vAlign w:val="center"/>
          </w:tcPr>
          <w:p>
            <w:pPr>
              <w:widowControl/>
              <w:kinsoku/>
              <w:autoSpaceDE/>
              <w:autoSpaceDN/>
              <w:adjustRightInd/>
              <w:snapToGrid/>
              <w:spacing w:line="240" w:lineRule="auto"/>
              <w:jc w:val="center"/>
              <w:textAlignment w:val="center"/>
              <w:rPr>
                <w:rFonts w:ascii="宋体" w:hAnsi="宋体" w:eastAsia="仿宋" w:cs="宋体"/>
                <w:snapToGrid/>
                <w:color w:val="auto"/>
                <w:kern w:val="2"/>
                <w:sz w:val="22"/>
                <w:szCs w:val="22"/>
                <w:lang w:eastAsia="zh-CN"/>
              </w:rPr>
            </w:pPr>
            <w:r>
              <w:rPr>
                <w:rFonts w:hint="eastAsia" w:ascii="宋体" w:hAnsi="宋体" w:eastAsia="仿宋" w:cs="宋体"/>
                <w:snapToGrid/>
                <w:color w:val="auto"/>
                <w:kern w:val="0"/>
                <w:sz w:val="22"/>
                <w:szCs w:val="22"/>
                <w:lang w:eastAsia="zh-CN" w:bidi="ar"/>
              </w:rPr>
              <w:t>…</w:t>
            </w:r>
          </w:p>
        </w:tc>
        <w:tc>
          <w:tcPr>
            <w:tcW w:w="279"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73"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264"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48"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2"/>
                <w:szCs w:val="22"/>
                <w:lang w:eastAsia="zh-CN"/>
              </w:rPr>
            </w:pPr>
          </w:p>
        </w:tc>
        <w:tc>
          <w:tcPr>
            <w:tcW w:w="419"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16"/>
                <w:szCs w:val="16"/>
                <w:lang w:eastAsia="zh-CN"/>
              </w:rPr>
            </w:pPr>
          </w:p>
        </w:tc>
        <w:tc>
          <w:tcPr>
            <w:tcW w:w="406"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8"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10"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500"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96"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414" w:type="pct"/>
            <w:tcBorders>
              <w:top w:val="single" w:color="auto" w:sz="4" w:space="0"/>
              <w:left w:val="single" w:color="auto" w:sz="4" w:space="0"/>
              <w:right w:val="single" w:color="auto" w:sz="4" w:space="0"/>
            </w:tcBorders>
            <w:noWrap w:val="0"/>
            <w:vAlign w:val="center"/>
          </w:tcPr>
          <w:p>
            <w:pPr>
              <w:widowControl w:val="0"/>
              <w:kinsoku/>
              <w:autoSpaceDE/>
              <w:autoSpaceDN/>
              <w:adjustRightInd/>
              <w:snapToGrid/>
              <w:spacing w:line="240" w:lineRule="auto"/>
              <w:jc w:val="both"/>
              <w:textAlignment w:val="auto"/>
              <w:rPr>
                <w:rFonts w:ascii="黑体" w:hAnsi="宋体" w:eastAsia="黑体" w:cs="黑体"/>
                <w:snapToGrid/>
                <w:color w:val="auto"/>
                <w:kern w:val="2"/>
                <w:sz w:val="22"/>
                <w:szCs w:val="22"/>
                <w:lang w:eastAsia="zh-CN"/>
              </w:rPr>
            </w:pPr>
          </w:p>
        </w:tc>
        <w:tc>
          <w:tcPr>
            <w:tcW w:w="302" w:type="pct"/>
            <w:tcBorders>
              <w:top w:val="single" w:color="auto" w:sz="4" w:space="0"/>
              <w:left w:val="single" w:color="auto" w:sz="4" w:space="0"/>
              <w:right w:val="single" w:color="auto" w:sz="4" w:space="0"/>
            </w:tcBorders>
            <w:noWrap/>
            <w:vAlign w:val="center"/>
          </w:tcPr>
          <w:p>
            <w:pPr>
              <w:widowControl w:val="0"/>
              <w:kinsoku/>
              <w:autoSpaceDE/>
              <w:autoSpaceDN/>
              <w:adjustRightInd/>
              <w:snapToGrid/>
              <w:spacing w:line="240" w:lineRule="auto"/>
              <w:jc w:val="both"/>
              <w:textAlignment w:val="auto"/>
              <w:rPr>
                <w:rFonts w:ascii="宋体" w:hAnsi="宋体" w:eastAsia="仿宋" w:cs="宋体"/>
                <w:snapToGrid/>
                <w:color w:val="auto"/>
                <w:kern w:val="2"/>
                <w:sz w:val="24"/>
                <w:szCs w:val="32"/>
                <w:lang w:eastAsia="zh-CN"/>
              </w:rPr>
            </w:pPr>
          </w:p>
        </w:tc>
      </w:tr>
    </w:tbl>
    <w:p>
      <w:pPr>
        <w:widowControl w:val="0"/>
        <w:ind w:firstLine="276" w:firstLineChars="100"/>
        <w:jc w:val="both"/>
        <w:rPr>
          <w:rFonts w:hint="eastAsia" w:ascii="仿宋_GB2312" w:hAnsi="仿宋_GB2312" w:eastAsia="仿宋_GB2312" w:cs="仿宋_GB2312"/>
          <w:color w:val="auto"/>
          <w:kern w:val="0"/>
          <w:sz w:val="28"/>
          <w:szCs w:val="28"/>
          <w:lang w:val="zh-CN" w:eastAsia="zh-CN" w:bidi="zh-CN"/>
        </w:rPr>
      </w:pPr>
    </w:p>
    <w:p>
      <w:pPr>
        <w:pStyle w:val="2"/>
        <w:keepNext w:val="0"/>
        <w:keepLines w:val="0"/>
        <w:pageBreakBefore w:val="0"/>
        <w:kinsoku/>
        <w:topLinePunct w:val="0"/>
        <w:bidi w:val="0"/>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sz w:val="32"/>
          <w:szCs w:val="32"/>
          <w:lang w:val="en-US" w:eastAsia="zh-CN"/>
        </w:rPr>
        <w:t xml:space="preserve">填表人：            联系电话：               电子邮箱：         </w:t>
      </w:r>
      <w:bookmarkStart w:id="1" w:name="_GoBack"/>
      <w:bookmarkEnd w:id="1"/>
    </w:p>
    <w:sectPr>
      <w:headerReference r:id="rId12" w:type="default"/>
      <w:footerReference r:id="rId13" w:type="default"/>
      <w:pgSz w:w="16838" w:h="11906" w:orient="landscape"/>
      <w:pgMar w:top="1531" w:right="2098" w:bottom="1531" w:left="1701" w:header="851" w:footer="1134" w:gutter="0"/>
      <w:pgBorders>
        <w:top w:val="none" w:sz="0" w:space="0"/>
        <w:left w:val="none" w:sz="0" w:space="0"/>
        <w:bottom w:val="none" w:sz="0" w:space="0"/>
        <w:right w:val="none" w:sz="0" w:space="0"/>
      </w:pgBorders>
      <w:pgNumType w:fmt="numberInDash"/>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158"/>
        <w:tab w:val="clear" w:pos="4153"/>
      </w:tabs>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CifH4w5gEAAMgD&#10;AAAOAAAAAAAAAAEAIAAAAB8BAABkcnMvZTJvRG9jLnhtbFBLBQYAAAAABgAGAFkBAAB3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14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BTK3QfoAQAA&#10;yAMAAA4AAAAAAAAAAQAgAAAAHwEAAGRycy9lMm9Eb2MueG1sUEsFBgAAAAAGAAYAWQEAAHkFAAAA&#10;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JethYPoAQAA&#10;yAMAAA4AAAAAAAAAAQAgAAAAHwEAAGRycy9lMm9Eb2MueG1sUEsFBgAAAAAGAAYAWQEAAHkFAAAA&#10;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LcbAN+cBAADI&#10;AwAADgAAAAAAAAABACAAAAAfAQAAZHJzL2Uyb0RvYy54bWxQSwUGAAAAAAYABgBZAQAAe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NBkRFDoAQAA&#10;yAMAAA4AAAAAAAAAAQAgAAAAHwEAAGRycy9lMm9Eb2MueG1sUEsFBgAAAAAGAAYAWQEAAHkFAAAA&#10;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435"/>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D9uW7voAQAA&#10;yAMAAA4AAAAAAAAAAQAgAAAAHwEAAGRycy9lMm9Eb2MueG1sUEsFBgAAAAAGAAYAWQEAAHkFAAAA&#10;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837"/>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LwJAz/oAQAA&#10;yAMAAA4AAAAAAAAAAQAgAAAAHwEAAGRycy9lMm9Eb2MueG1sUEsFBgAAAAAGAAYAWQEAAHkFAAAA&#10;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6257"/>
      </w:tabs>
      <w:snapToGrid w:val="0"/>
      <w:ind w:right="360"/>
      <w:jc w:val="left"/>
      <w:rPr>
        <w:rFonts w:ascii="Times New Roman" w:hAnsi="Times New Roman" w:eastAsia="仿宋" w:cs="Times New Roman"/>
        <w:color w:val="000000"/>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LTcTm+cBAADJ&#10;AwAADgAAAAAAAAABACAAAAAfAQAAZHJzL2Uyb0RvYy54bWxQSwUGAAAAAAYABgBZAQAAe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- 26 -</w:t>
                          </w:r>
                          <w:r>
                            <w:rPr>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- 26 -</w:t>
                    </w:r>
                    <w:r>
                      <w:rPr>
                        <w:rFonts w:ascii="宋体" w:hAnsi="宋体" w:eastAsia="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8"/>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专业名称和专业代码，是指对应 2021年职业教育专业目录（更新时间:2024年1月）的名称和代码。 </w:t>
      </w:r>
    </w:p>
  </w:footnote>
  <w:footnote w:id="1">
    <w:p>
      <w:pPr>
        <w:pStyle w:val="8"/>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教学团队全部成员逐一添加填写。</w:t>
      </w:r>
    </w:p>
  </w:footnote>
  <w:footnote w:id="2">
    <w:p>
      <w:pPr>
        <w:pStyle w:val="8"/>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教学团队全部成员逐一添加填写。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0"/>
  <w:displayVerticalDrawingGridEvery w:val="2"/>
  <w:characterSpacingControl w:val="compressPunctuation"/>
  <w:hdrShapeDefaults>
    <o:shapelayout v:ext="edit">
      <o:idmap v:ext="edit" data="2"/>
    </o:shapelayout>
  </w:hdrShapeDefaults>
  <w:footnotePr>
    <w:footnote w:id="6"/>
    <w:footnote w:id="7"/>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C"/>
    <w:rsid w:val="00096521"/>
    <w:rsid w:val="000C6DDB"/>
    <w:rsid w:val="000D1AB0"/>
    <w:rsid w:val="001A5DC9"/>
    <w:rsid w:val="001B7F2E"/>
    <w:rsid w:val="001C0075"/>
    <w:rsid w:val="002128F3"/>
    <w:rsid w:val="002268CB"/>
    <w:rsid w:val="002321A2"/>
    <w:rsid w:val="002506E9"/>
    <w:rsid w:val="00270F56"/>
    <w:rsid w:val="00276BFC"/>
    <w:rsid w:val="00286FFF"/>
    <w:rsid w:val="00290290"/>
    <w:rsid w:val="002C426A"/>
    <w:rsid w:val="002D0DFC"/>
    <w:rsid w:val="002D3B63"/>
    <w:rsid w:val="002E66C3"/>
    <w:rsid w:val="002E7CD3"/>
    <w:rsid w:val="003201B5"/>
    <w:rsid w:val="00366BE3"/>
    <w:rsid w:val="00380C37"/>
    <w:rsid w:val="0039066C"/>
    <w:rsid w:val="00392CCF"/>
    <w:rsid w:val="004251BA"/>
    <w:rsid w:val="004279A2"/>
    <w:rsid w:val="004458D6"/>
    <w:rsid w:val="0045036F"/>
    <w:rsid w:val="004806F0"/>
    <w:rsid w:val="00511A95"/>
    <w:rsid w:val="00554F61"/>
    <w:rsid w:val="005F0DC5"/>
    <w:rsid w:val="00634197"/>
    <w:rsid w:val="006779FE"/>
    <w:rsid w:val="006B7997"/>
    <w:rsid w:val="006C327B"/>
    <w:rsid w:val="00713B07"/>
    <w:rsid w:val="00724B09"/>
    <w:rsid w:val="007256DC"/>
    <w:rsid w:val="007401A3"/>
    <w:rsid w:val="00744517"/>
    <w:rsid w:val="007779CE"/>
    <w:rsid w:val="00782BD1"/>
    <w:rsid w:val="007B1A64"/>
    <w:rsid w:val="007B3BB1"/>
    <w:rsid w:val="007E4BE8"/>
    <w:rsid w:val="007F5625"/>
    <w:rsid w:val="0082489A"/>
    <w:rsid w:val="00825437"/>
    <w:rsid w:val="00833487"/>
    <w:rsid w:val="00845059"/>
    <w:rsid w:val="00870BBB"/>
    <w:rsid w:val="009334FD"/>
    <w:rsid w:val="00961600"/>
    <w:rsid w:val="009904C7"/>
    <w:rsid w:val="009F5B83"/>
    <w:rsid w:val="00A84963"/>
    <w:rsid w:val="00AC188F"/>
    <w:rsid w:val="00B74A62"/>
    <w:rsid w:val="00BA4618"/>
    <w:rsid w:val="00BE79F0"/>
    <w:rsid w:val="00BF30AE"/>
    <w:rsid w:val="00CD68B4"/>
    <w:rsid w:val="00CE1EEC"/>
    <w:rsid w:val="00D54548"/>
    <w:rsid w:val="00DC5587"/>
    <w:rsid w:val="00DE2471"/>
    <w:rsid w:val="00E03916"/>
    <w:rsid w:val="00E4386A"/>
    <w:rsid w:val="00E507B8"/>
    <w:rsid w:val="00E82A9A"/>
    <w:rsid w:val="00EA75F9"/>
    <w:rsid w:val="00F03321"/>
    <w:rsid w:val="00F84B29"/>
    <w:rsid w:val="00FA566A"/>
    <w:rsid w:val="00FC3B0E"/>
    <w:rsid w:val="05F2106A"/>
    <w:rsid w:val="07D541F5"/>
    <w:rsid w:val="0B9B51CD"/>
    <w:rsid w:val="0BA707BD"/>
    <w:rsid w:val="0BF03706"/>
    <w:rsid w:val="0E292654"/>
    <w:rsid w:val="12B70A5E"/>
    <w:rsid w:val="13CF3FC5"/>
    <w:rsid w:val="144110DF"/>
    <w:rsid w:val="173841B4"/>
    <w:rsid w:val="1B880EC7"/>
    <w:rsid w:val="1BA21CB8"/>
    <w:rsid w:val="1E423F2B"/>
    <w:rsid w:val="202D7866"/>
    <w:rsid w:val="216A6DC6"/>
    <w:rsid w:val="238C077E"/>
    <w:rsid w:val="25B81A4F"/>
    <w:rsid w:val="27A949AD"/>
    <w:rsid w:val="29EE2DF3"/>
    <w:rsid w:val="2BD34310"/>
    <w:rsid w:val="2D901DF3"/>
    <w:rsid w:val="32A61EF0"/>
    <w:rsid w:val="34345BD4"/>
    <w:rsid w:val="354C2B71"/>
    <w:rsid w:val="36905256"/>
    <w:rsid w:val="37A5619D"/>
    <w:rsid w:val="37F30D3B"/>
    <w:rsid w:val="38EF75AF"/>
    <w:rsid w:val="39FB09E1"/>
    <w:rsid w:val="3B96CF30"/>
    <w:rsid w:val="3FEFECEC"/>
    <w:rsid w:val="42B15711"/>
    <w:rsid w:val="47717154"/>
    <w:rsid w:val="484F1FAE"/>
    <w:rsid w:val="4AFB075F"/>
    <w:rsid w:val="4B432CE1"/>
    <w:rsid w:val="4C206C8E"/>
    <w:rsid w:val="4E955E5D"/>
    <w:rsid w:val="4FD74DA9"/>
    <w:rsid w:val="57462459"/>
    <w:rsid w:val="58FB7453"/>
    <w:rsid w:val="5A4B7D0B"/>
    <w:rsid w:val="5B7A6AFC"/>
    <w:rsid w:val="5BEE25BD"/>
    <w:rsid w:val="5DEB47F0"/>
    <w:rsid w:val="5E382A8A"/>
    <w:rsid w:val="5F9741A9"/>
    <w:rsid w:val="614A4638"/>
    <w:rsid w:val="631259E1"/>
    <w:rsid w:val="63392A2B"/>
    <w:rsid w:val="668E3391"/>
    <w:rsid w:val="66D8632F"/>
    <w:rsid w:val="6A393999"/>
    <w:rsid w:val="6B1A7FAA"/>
    <w:rsid w:val="6D384559"/>
    <w:rsid w:val="6F4DD87B"/>
    <w:rsid w:val="6FFF8377"/>
    <w:rsid w:val="70D04947"/>
    <w:rsid w:val="72A02E21"/>
    <w:rsid w:val="73985AC8"/>
    <w:rsid w:val="73EB7FD6"/>
    <w:rsid w:val="73F14C62"/>
    <w:rsid w:val="74E543ED"/>
    <w:rsid w:val="752B01A5"/>
    <w:rsid w:val="759C43E2"/>
    <w:rsid w:val="762D21B6"/>
    <w:rsid w:val="775A8D7C"/>
    <w:rsid w:val="7DB25835"/>
    <w:rsid w:val="7E622CD5"/>
    <w:rsid w:val="7ECE31E3"/>
    <w:rsid w:val="7F6331D9"/>
    <w:rsid w:val="7F7F628F"/>
    <w:rsid w:val="8DD5E440"/>
    <w:rsid w:val="8FA7EC50"/>
    <w:rsid w:val="90C6A7FE"/>
    <w:rsid w:val="9E72CA07"/>
    <w:rsid w:val="B1AFA7E2"/>
    <w:rsid w:val="DFAD12DC"/>
    <w:rsid w:val="DFCF450D"/>
    <w:rsid w:val="DFEAD53A"/>
    <w:rsid w:val="F2DFAB97"/>
    <w:rsid w:val="FBFF99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2"/>
    <w:next w:val="1"/>
    <w:unhideWhenUsed/>
    <w:qFormat/>
    <w:uiPriority w:val="0"/>
    <w:pPr>
      <w:widowControl w:val="0"/>
      <w:spacing w:before="100" w:beforeAutospacing="1" w:after="100" w:afterAutospacing="1"/>
      <w:jc w:val="left"/>
      <w:outlineLvl w:val="1"/>
    </w:pPr>
    <w:rPr>
      <w:rFonts w:hint="eastAsia" w:ascii="宋体" w:hAnsi="宋体" w:eastAsia="宋体" w:cs="宋体"/>
      <w:color w:val="auto"/>
      <w:kern w:val="0"/>
      <w:sz w:val="14"/>
      <w:szCs w:val="14"/>
      <w:lang w:val="en-US" w:eastAsia="zh-CN" w:bidi="ar"/>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kern w:val="0"/>
      <w:sz w:val="20"/>
      <w:szCs w:val="20"/>
    </w:rPr>
  </w:style>
  <w:style w:type="paragraph" w:styleId="3">
    <w:name w:val="Body Text"/>
    <w:basedOn w:val="1"/>
    <w:next w:val="1"/>
    <w:semiHidden/>
    <w:qFormat/>
    <w:uiPriority w:val="0"/>
    <w:rPr>
      <w:rFonts w:ascii="仿宋" w:hAnsi="仿宋" w:eastAsia="仿宋" w:cs="仿宋"/>
      <w:sz w:val="31"/>
      <w:szCs w:val="31"/>
      <w:lang w:val="en-US" w:eastAsia="en-US" w:bidi="ar-SA"/>
    </w:rPr>
  </w:style>
  <w:style w:type="paragraph" w:styleId="5">
    <w:name w:val="Balloon Text"/>
    <w:basedOn w:val="1"/>
    <w:link w:val="15"/>
    <w:unhideWhenUsed/>
    <w:uiPriority w:val="99"/>
    <w:rPr>
      <w:sz w:val="18"/>
      <w:szCs w:val="18"/>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kern w:val="0"/>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color w:val="auto"/>
      <w:kern w:val="0"/>
      <w:sz w:val="24"/>
      <w:szCs w:val="24"/>
      <w:lang w:val="en-US" w:eastAsia="zh-CN" w:bidi="ar"/>
    </w:rPr>
  </w:style>
  <w:style w:type="character" w:styleId="12">
    <w:name w:val="page number"/>
    <w:basedOn w:val="11"/>
    <w:uiPriority w:val="0"/>
  </w:style>
  <w:style w:type="character" w:styleId="13">
    <w:name w:val="Hyperlink"/>
    <w:uiPriority w:val="0"/>
    <w:rPr>
      <w:color w:val="0000FF"/>
      <w:u w:val="single"/>
    </w:rPr>
  </w:style>
  <w:style w:type="character" w:styleId="14">
    <w:name w:val="footnote reference"/>
    <w:qFormat/>
    <w:uiPriority w:val="0"/>
    <w:rPr>
      <w:vertAlign w:val="superscript"/>
    </w:rPr>
  </w:style>
  <w:style w:type="character" w:customStyle="1" w:styleId="15">
    <w:name w:val="批注框文本 字符"/>
    <w:link w:val="5"/>
    <w:semiHidden/>
    <w:uiPriority w:val="99"/>
    <w:rPr>
      <w:rFonts w:ascii="Times New Roman" w:hAnsi="Times New Roman" w:eastAsia="仿宋" w:cs="Times New Roman"/>
      <w:color w:val="000000"/>
      <w:sz w:val="18"/>
      <w:szCs w:val="18"/>
    </w:rPr>
  </w:style>
  <w:style w:type="character" w:customStyle="1" w:styleId="16">
    <w:name w:val="页脚 字符"/>
    <w:link w:val="6"/>
    <w:uiPriority w:val="0"/>
    <w:rPr>
      <w:rFonts w:ascii="Times New Roman" w:hAnsi="Times New Roman" w:eastAsia="仿宋" w:cs="Times New Roman"/>
      <w:color w:val="000000"/>
      <w:sz w:val="18"/>
      <w:szCs w:val="18"/>
    </w:rPr>
  </w:style>
  <w:style w:type="character" w:customStyle="1" w:styleId="17">
    <w:name w:val="页眉 字符"/>
    <w:link w:val="7"/>
    <w:uiPriority w:val="99"/>
    <w:rPr>
      <w:rFonts w:ascii="Times New Roman" w:hAnsi="Times New Roman" w:eastAsia="仿宋" w:cs="Times New Roman"/>
      <w:color w:val="000000"/>
      <w:sz w:val="18"/>
      <w:szCs w:val="18"/>
    </w:rPr>
  </w:style>
  <w:style w:type="paragraph" w:customStyle="1" w:styleId="18">
    <w:name w:val="Char Char Char"/>
    <w:basedOn w:val="1"/>
    <w:uiPriority w:val="0"/>
    <w:pPr>
      <w:widowControl/>
      <w:spacing w:after="160" w:line="240" w:lineRule="exact"/>
      <w:jc w:val="left"/>
    </w:pPr>
    <w:rPr>
      <w:rFonts w:ascii="Verdana" w:hAnsi="Verdana" w:eastAsia="仿宋_GB2312"/>
      <w:color w:val="auto"/>
      <w:kern w:val="0"/>
      <w:sz w:val="24"/>
      <w:szCs w:val="20"/>
      <w:lang w:eastAsia="en-US"/>
    </w:rPr>
  </w:style>
  <w:style w:type="paragraph" w:customStyle="1" w:styleId="19">
    <w:name w:val="_Style 16"/>
    <w:basedOn w:val="1"/>
    <w:qFormat/>
    <w:uiPriority w:val="1"/>
    <w:pPr>
      <w:ind w:left="471" w:firstLine="640"/>
    </w:pPr>
    <w:rPr>
      <w:rFonts w:ascii="仿宋" w:hAnsi="仿宋" w:eastAsia="仿宋" w:cs="仿宋"/>
      <w:lang w:val="zh-CN" w:eastAsia="zh-CN" w:bidi="zh-CN"/>
    </w:rPr>
  </w:style>
  <w:style w:type="paragraph" w:customStyle="1" w:styleId="20">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table" w:customStyle="1" w:styleId="21">
    <w:name w:val="Table Normal"/>
    <w:unhideWhenUsed/>
    <w:qFormat/>
    <w:uiPriority w:val="0"/>
    <w:tblPr>
      <w:tblCellMar>
        <w:top w:w="0" w:type="dxa"/>
        <w:left w:w="0" w:type="dxa"/>
        <w:bottom w:w="0" w:type="dxa"/>
        <w:right w:w="0" w:type="dxa"/>
      </w:tblCellMar>
    </w:tblPr>
  </w:style>
  <w:style w:type="character" w:customStyle="1" w:styleId="22">
    <w:name w:val="font11"/>
    <w:basedOn w:val="11"/>
    <w:qFormat/>
    <w:uiPriority w:val="0"/>
    <w:rPr>
      <w:rFonts w:hint="eastAsia" w:ascii="黑体" w:hAnsi="宋体" w:eastAsia="黑体" w:cs="黑体"/>
      <w:color w:val="000000"/>
      <w:sz w:val="24"/>
      <w:szCs w:val="24"/>
      <w:u w:val="none"/>
    </w:rPr>
  </w:style>
  <w:style w:type="character" w:customStyle="1" w:styleId="23">
    <w:name w:val="font71"/>
    <w:qFormat/>
    <w:uiPriority w:val="0"/>
    <w:rPr>
      <w:rFonts w:hint="default" w:ascii="Times New Roman" w:hAnsi="Times New Roman" w:cs="Times New Roman"/>
      <w:color w:val="000000"/>
      <w:sz w:val="29"/>
      <w:szCs w:val="29"/>
      <w:u w:val="none"/>
    </w:rPr>
  </w:style>
  <w:style w:type="paragraph" w:customStyle="1" w:styleId="24">
    <w:name w:val="文本框"/>
    <w:qFormat/>
    <w:uiPriority w:val="0"/>
    <w:rPr>
      <w:rFonts w:ascii="Times New Roman" w:hAnsi="Times New Roman" w:eastAsia="宋体" w:cs="Times New Roman"/>
      <w:kern w:val="2"/>
      <w:sz w:val="21"/>
      <w:szCs w:val="24"/>
      <w:lang w:val="en-US" w:eastAsia="zh-CN" w:bidi="ar-SA"/>
    </w:rPr>
  </w:style>
  <w:style w:type="character" w:customStyle="1" w:styleId="25">
    <w:name w:val="font41"/>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header" Target="header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15480</Words>
  <Characters>16120</Characters>
  <Lines>1</Lines>
  <Paragraphs>1</Paragraphs>
  <TotalTime>5</TotalTime>
  <ScaleCrop>false</ScaleCrop>
  <LinksUpToDate>false</LinksUpToDate>
  <CharactersWithSpaces>16381</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2015-03-08T09:46:00Z</dcterms:created>
  <dc:creator>微软用户</dc:creator>
  <cp:lastModifiedBy>user</cp:lastModifiedBy>
  <cp:lastPrinted>2024-03-14T02:34:00Z</cp:lastPrinted>
  <dcterms:modified xsi:type="dcterms:W3CDTF">2024-03-13T09:31:19Z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342809D89CEE464DA5B6C5F130316284</vt:lpwstr>
  </property>
</Properties>
</file>