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outlineLvl w:val="9"/>
        <w:rPr>
          <w:rFonts w:hint="eastAsia" w:ascii="方正小标宋简体" w:hAnsi="方正小标宋简体" w:eastAsia="方正小标宋简体" w:cs="方正小标宋简体"/>
          <w:bCs/>
          <w:color w:val="auto"/>
          <w:kern w:val="0"/>
          <w:sz w:val="44"/>
          <w:szCs w:val="44"/>
          <w:shd w:val="clear" w:color="auto" w:fill="auto"/>
          <w:lang w:eastAsia="zh-CN"/>
        </w:rPr>
      </w:pPr>
      <w:r>
        <w:rPr>
          <w:rFonts w:hint="eastAsia" w:ascii="方正小标宋简体" w:hAnsi="方正小标宋简体" w:eastAsia="方正小标宋简体" w:cs="方正小标宋简体"/>
          <w:bCs/>
          <w:color w:val="auto"/>
          <w:kern w:val="0"/>
          <w:sz w:val="44"/>
          <w:szCs w:val="44"/>
          <w:shd w:val="clear" w:color="auto" w:fill="auto"/>
          <w:lang w:eastAsia="zh-CN"/>
        </w:rPr>
        <w:drawing>
          <wp:inline distT="0" distB="0" distL="114300" distR="114300">
            <wp:extent cx="5723890" cy="7972425"/>
            <wp:effectExtent l="0" t="0" r="10160" b="9525"/>
            <wp:docPr id="1" name="图片 1" descr="微信图片_2023111511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1115111714"/>
                    <pic:cNvPicPr>
                      <a:picLocks noChangeAspect="1"/>
                    </pic:cNvPicPr>
                  </pic:nvPicPr>
                  <pic:blipFill>
                    <a:blip r:embed="rId4"/>
                    <a:stretch>
                      <a:fillRect/>
                    </a:stretch>
                  </pic:blipFill>
                  <pic:spPr>
                    <a:xfrm>
                      <a:off x="0" y="0"/>
                      <a:ext cx="5723890" cy="797242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560" w:lineRule="exact"/>
        <w:jc w:val="center"/>
        <w:textAlignment w:val="auto"/>
        <w:outlineLvl w:val="9"/>
        <w:rPr>
          <w:rFonts w:hint="eastAsia" w:ascii="方正小标宋简体" w:hAnsi="方正小标宋简体" w:eastAsia="方正小标宋简体" w:cs="方正小标宋简体"/>
          <w:bCs/>
          <w:color w:val="auto"/>
          <w:kern w:val="0"/>
          <w:sz w:val="44"/>
          <w:szCs w:val="44"/>
          <w:shd w:val="clear" w:color="auto" w:fill="auto"/>
          <w:lang w:eastAsia="zh-CN"/>
        </w:rPr>
      </w:pPr>
    </w:p>
    <w:p>
      <w:pPr>
        <w:keepNext w:val="0"/>
        <w:keepLines w:val="0"/>
        <w:pageBreakBefore w:val="0"/>
        <w:widowControl/>
        <w:kinsoku/>
        <w:wordWrap/>
        <w:overflowPunct/>
        <w:topLinePunct w:val="0"/>
        <w:autoSpaceDE/>
        <w:autoSpaceDN/>
        <w:bidi w:val="0"/>
        <w:adjustRightInd w:val="0"/>
        <w:snapToGrid w:val="0"/>
        <w:spacing w:line="560" w:lineRule="exact"/>
        <w:jc w:val="center"/>
        <w:textAlignment w:val="auto"/>
        <w:outlineLvl w:val="9"/>
        <w:rPr>
          <w:rFonts w:hint="eastAsia" w:ascii="方正小标宋简体" w:hAnsi="方正小标宋简体" w:eastAsia="方正小标宋简体" w:cs="方正小标宋简体"/>
          <w:bCs/>
          <w:color w:val="auto"/>
          <w:kern w:val="0"/>
          <w:sz w:val="44"/>
          <w:szCs w:val="44"/>
          <w:shd w:val="clear" w:color="auto" w:fill="auto"/>
          <w:lang w:eastAsia="zh-CN"/>
        </w:rPr>
      </w:pPr>
    </w:p>
    <w:p>
      <w:pPr>
        <w:pStyle w:val="5"/>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仿宋_GB2312" w:hAnsi="仿宋_GB2312" w:cs="仿宋_GB2312"/>
          <w:color w:val="000000" w:themeColor="text1"/>
          <w:kern w:val="0"/>
          <w:sz w:val="32"/>
          <w:szCs w:val="32"/>
          <w:lang w:eastAsia="zh-CN"/>
          <w14:textFill>
            <w14:solidFill>
              <w14:schemeClr w14:val="tx1"/>
            </w14:solidFill>
          </w14:textFill>
        </w:rPr>
      </w:pPr>
      <w:r>
        <w:rPr>
          <w:rFonts w:hint="eastAsia" w:ascii="仿宋_GB2312" w:hAnsi="Calibri" w:eastAsia="仿宋_GB2312" w:cs="仿宋_GB2312"/>
          <w:color w:val="auto"/>
          <w:kern w:val="0"/>
          <w:sz w:val="32"/>
          <w:szCs w:val="32"/>
          <w:shd w:val="clear" w:color="auto" w:fill="auto"/>
          <w:lang w:val="en-US" w:eastAsia="zh-CN" w:bidi="ar"/>
        </w:rPr>
        <w:t>格按照《高等学校信息公开办法》</w:t>
      </w:r>
      <w:r>
        <w:rPr>
          <w:rFonts w:hint="eastAsia" w:ascii="仿宋_GB2312" w:cs="仿宋_GB2312"/>
          <w:color w:val="auto"/>
          <w:kern w:val="0"/>
          <w:sz w:val="32"/>
          <w:szCs w:val="32"/>
          <w:shd w:val="clear" w:color="auto" w:fill="auto"/>
          <w:lang w:val="en-US" w:eastAsia="zh-CN" w:bidi="ar"/>
        </w:rPr>
        <w:t>和</w:t>
      </w:r>
      <w:r>
        <w:rPr>
          <w:rFonts w:hint="eastAsia" w:ascii="仿宋_GB2312" w:hAnsi="Calibri" w:eastAsia="仿宋_GB2312" w:cs="仿宋_GB2312"/>
          <w:color w:val="auto"/>
          <w:kern w:val="0"/>
          <w:sz w:val="32"/>
          <w:szCs w:val="32"/>
          <w:shd w:val="clear" w:color="auto" w:fill="auto"/>
          <w:lang w:val="en-US" w:eastAsia="zh-CN" w:bidi="ar"/>
        </w:rPr>
        <w:t>《高等学校信息公开事项清单》</w:t>
      </w:r>
      <w:r>
        <w:rPr>
          <w:rFonts w:hint="eastAsia" w:ascii="仿宋_GB2312" w:cs="仿宋_GB2312"/>
          <w:color w:val="auto"/>
          <w:kern w:val="0"/>
          <w:sz w:val="32"/>
          <w:szCs w:val="32"/>
          <w:shd w:val="clear" w:color="auto" w:fill="auto"/>
          <w:lang w:val="en-US" w:eastAsia="zh-CN" w:bidi="ar"/>
        </w:rPr>
        <w:t>，</w:t>
      </w:r>
      <w:r>
        <w:rPr>
          <w:rFonts w:hint="eastAsia" w:ascii="仿宋_GB2312" w:hAnsi="Calibri" w:eastAsia="仿宋_GB2312" w:cs="仿宋_GB2312"/>
          <w:b w:val="0"/>
          <w:bCs w:val="0"/>
          <w:color w:val="auto"/>
          <w:kern w:val="0"/>
          <w:sz w:val="32"/>
          <w:szCs w:val="32"/>
          <w:shd w:val="clear" w:color="auto" w:fill="auto"/>
          <w:lang w:val="en-US" w:eastAsia="zh-CN" w:bidi="ar"/>
        </w:rPr>
        <w:t>严格对照要求，逐一核对，全面梳理上一年度信息公开工作内容，查缺补漏，进一步明确责任部门与具体公开内容，及时调整充实工作机构，负责落实业务范围内信息公开有关事项，确保在本部门</w:t>
      </w:r>
      <w:r>
        <w:rPr>
          <w:rFonts w:hint="eastAsia" w:ascii="仿宋_GB2312" w:cs="仿宋_GB2312"/>
          <w:b w:val="0"/>
          <w:bCs w:val="0"/>
          <w:color w:val="auto"/>
          <w:kern w:val="0"/>
          <w:sz w:val="32"/>
          <w:szCs w:val="32"/>
          <w:shd w:val="clear" w:color="auto" w:fill="auto"/>
          <w:lang w:val="en-US" w:eastAsia="zh-CN" w:bidi="ar"/>
        </w:rPr>
        <w:t>网页</w:t>
      </w:r>
      <w:r>
        <w:rPr>
          <w:rFonts w:hint="eastAsia" w:ascii="仿宋_GB2312" w:hAnsi="Calibri" w:eastAsia="仿宋_GB2312" w:cs="仿宋_GB2312"/>
          <w:b w:val="0"/>
          <w:bCs w:val="0"/>
          <w:color w:val="auto"/>
          <w:kern w:val="0"/>
          <w:sz w:val="32"/>
          <w:szCs w:val="32"/>
          <w:shd w:val="clear" w:color="auto" w:fill="auto"/>
          <w:lang w:val="en-US" w:eastAsia="zh-CN" w:bidi="ar"/>
        </w:rPr>
        <w:t>定期或动态更新信息</w:t>
      </w:r>
      <w:r>
        <w:rPr>
          <w:rFonts w:hint="eastAsia" w:ascii="仿宋_GB2312" w:cs="仿宋_GB2312"/>
          <w:b w:val="0"/>
          <w:bCs w:val="0"/>
          <w:color w:val="auto"/>
          <w:kern w:val="0"/>
          <w:sz w:val="32"/>
          <w:szCs w:val="32"/>
          <w:shd w:val="clear" w:color="auto" w:fill="auto"/>
          <w:lang w:val="en-US" w:eastAsia="zh-CN" w:bidi="ar"/>
        </w:rPr>
        <w:t>，</w:t>
      </w:r>
      <w:r>
        <w:rPr>
          <w:rFonts w:hint="eastAsia" w:ascii="仿宋_GB2312" w:hAnsi="Calibri" w:eastAsia="仿宋_GB2312" w:cs="仿宋_GB2312"/>
          <w:b w:val="0"/>
          <w:bCs w:val="0"/>
          <w:color w:val="auto"/>
          <w:kern w:val="0"/>
          <w:sz w:val="32"/>
          <w:szCs w:val="32"/>
          <w:shd w:val="clear" w:color="auto" w:fill="auto"/>
          <w:lang w:val="en-US" w:eastAsia="zh-CN" w:bidi="ar"/>
        </w:rPr>
        <w:t>同时在</w:t>
      </w:r>
      <w:r>
        <w:rPr>
          <w:rFonts w:hint="eastAsia" w:ascii="仿宋_GB2312" w:cs="仿宋_GB2312"/>
          <w:b w:val="0"/>
          <w:bCs w:val="0"/>
          <w:color w:val="auto"/>
          <w:kern w:val="0"/>
          <w:sz w:val="32"/>
          <w:szCs w:val="32"/>
          <w:shd w:val="clear" w:color="auto" w:fill="auto"/>
          <w:lang w:val="en-US" w:eastAsia="zh-CN" w:bidi="ar"/>
        </w:rPr>
        <w:t>学校</w:t>
      </w:r>
      <w:r>
        <w:rPr>
          <w:rFonts w:hint="eastAsia" w:ascii="仿宋_GB2312" w:hAnsi="Calibri" w:eastAsia="仿宋_GB2312" w:cs="仿宋_GB2312"/>
          <w:b w:val="0"/>
          <w:bCs w:val="0"/>
          <w:color w:val="auto"/>
          <w:kern w:val="0"/>
          <w:sz w:val="32"/>
          <w:szCs w:val="32"/>
          <w:shd w:val="clear" w:color="auto" w:fill="auto"/>
          <w:lang w:val="en-US" w:eastAsia="zh-CN" w:bidi="ar"/>
        </w:rPr>
        <w:t>信息公开</w:t>
      </w:r>
      <w:r>
        <w:rPr>
          <w:rFonts w:hint="eastAsia" w:ascii="仿宋_GB2312" w:cs="仿宋_GB2312"/>
          <w:b w:val="0"/>
          <w:bCs w:val="0"/>
          <w:color w:val="auto"/>
          <w:kern w:val="0"/>
          <w:sz w:val="32"/>
          <w:szCs w:val="32"/>
          <w:shd w:val="clear" w:color="auto" w:fill="auto"/>
          <w:lang w:val="en-US" w:eastAsia="zh-CN" w:bidi="ar"/>
        </w:rPr>
        <w:t>专栏</w:t>
      </w:r>
      <w:r>
        <w:rPr>
          <w:rFonts w:hint="eastAsia" w:ascii="仿宋_GB2312" w:hAnsi="Calibri" w:eastAsia="仿宋_GB2312" w:cs="仿宋_GB2312"/>
          <w:b w:val="0"/>
          <w:bCs w:val="0"/>
          <w:color w:val="auto"/>
          <w:kern w:val="0"/>
          <w:sz w:val="32"/>
          <w:szCs w:val="32"/>
          <w:shd w:val="clear" w:color="auto" w:fill="auto"/>
          <w:lang w:val="en-US" w:eastAsia="zh-CN" w:bidi="ar"/>
        </w:rPr>
        <w:t>同步发布</w:t>
      </w:r>
      <w:r>
        <w:rPr>
          <w:rFonts w:hint="eastAsia" w:ascii="仿宋_GB2312" w:cs="仿宋_GB2312"/>
          <w:b w:val="0"/>
          <w:bCs w:val="0"/>
          <w:color w:val="auto"/>
          <w:kern w:val="0"/>
          <w:sz w:val="32"/>
          <w:szCs w:val="32"/>
          <w:shd w:val="clear" w:color="auto" w:fill="auto"/>
          <w:lang w:val="en-US" w:eastAsia="zh-CN" w:bidi="ar"/>
        </w:rPr>
        <w:t>，</w:t>
      </w:r>
      <w:r>
        <w:rPr>
          <w:rFonts w:hint="eastAsia" w:ascii="仿宋_GB2312" w:hAnsi="仿宋_GB2312" w:eastAsia="仿宋_GB2312" w:cs="仿宋_GB2312"/>
          <w:color w:val="auto"/>
          <w:sz w:val="32"/>
          <w:szCs w:val="32"/>
        </w:rPr>
        <w:t>确保教职员工及社会公众对学校校务充分知情、有序参与、全面监督</w:t>
      </w:r>
      <w:r>
        <w:rPr>
          <w:rFonts w:hint="eastAsia" w:ascii="仿宋_GB2312" w:hAnsi="仿宋_GB2312" w:cs="仿宋_GB2312"/>
          <w:color w:val="000000" w:themeColor="text1"/>
          <w:kern w:val="0"/>
          <w:sz w:val="32"/>
          <w:szCs w:val="32"/>
          <w:lang w:eastAsia="zh-CN"/>
          <w14:textFill>
            <w14:solidFill>
              <w14:schemeClr w14:val="tx1"/>
            </w14:solidFill>
          </w14:textFill>
        </w:rPr>
        <w:t>。</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leftChars="200"/>
        <w:textAlignment w:val="auto"/>
        <w:rPr>
          <w:rFonts w:hint="eastAsia" w:ascii="仿宋_GB2312" w:hAnsi="仿宋_GB2312" w:eastAsia="仿宋_GB2312" w:cs="仿宋_GB2312"/>
          <w:b/>
          <w:bCs/>
          <w:kern w:val="0"/>
          <w:sz w:val="32"/>
          <w:szCs w:val="32"/>
        </w:rPr>
      </w:pPr>
      <w:r>
        <w:rPr>
          <w:rFonts w:hint="eastAsia" w:ascii="仿宋_GB2312" w:hAnsi="仿宋_GB2312" w:cs="仿宋_GB2312"/>
          <w:b/>
          <w:bCs/>
          <w:kern w:val="0"/>
          <w:sz w:val="32"/>
          <w:szCs w:val="32"/>
          <w:lang w:eastAsia="zh-CN"/>
        </w:rPr>
        <w:t>（二）</w:t>
      </w:r>
      <w:r>
        <w:rPr>
          <w:rFonts w:hint="eastAsia" w:ascii="仿宋_GB2312" w:hAnsi="仿宋_GB2312" w:eastAsia="仿宋_GB2312" w:cs="仿宋_GB2312"/>
          <w:b/>
          <w:bCs/>
          <w:kern w:val="0"/>
          <w:sz w:val="32"/>
          <w:szCs w:val="32"/>
        </w:rPr>
        <w:t>公开形式多样，管理公开透明</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eastAsia="zh-CN"/>
        </w:rPr>
        <w:t>学校</w:t>
      </w:r>
      <w:r>
        <w:rPr>
          <w:rFonts w:hint="eastAsia" w:ascii="仿宋_GB2312" w:hAnsi="仿宋_GB2312" w:eastAsia="仿宋_GB2312" w:cs="仿宋_GB2312"/>
          <w:sz w:val="32"/>
          <w:szCs w:val="32"/>
          <w:lang w:eastAsia="zh-CN"/>
        </w:rPr>
        <w:t>通过学院官网、官微、青春宁职、易班、各单位网页等向</w:t>
      </w:r>
      <w:r>
        <w:rPr>
          <w:rFonts w:hint="eastAsia" w:ascii="仿宋_GB2312" w:hAnsi="仿宋_GB2312" w:cs="仿宋_GB2312"/>
          <w:sz w:val="32"/>
          <w:szCs w:val="32"/>
          <w:lang w:eastAsia="zh-CN"/>
        </w:rPr>
        <w:t>全校</w:t>
      </w:r>
      <w:r>
        <w:rPr>
          <w:rFonts w:hint="eastAsia" w:ascii="仿宋_GB2312" w:hAnsi="仿宋_GB2312" w:eastAsia="仿宋_GB2312" w:cs="仿宋_GB2312"/>
          <w:sz w:val="32"/>
          <w:szCs w:val="32"/>
          <w:lang w:eastAsia="zh-CN"/>
        </w:rPr>
        <w:t>师生员工和社会公众主动公开信息</w:t>
      </w:r>
      <w:r>
        <w:rPr>
          <w:rFonts w:hint="eastAsia" w:ascii="仿宋_GB2312" w:hAnsi="仿宋_GB2312" w:cs="仿宋_GB2312"/>
          <w:sz w:val="32"/>
          <w:szCs w:val="32"/>
          <w:lang w:eastAsia="zh-CN"/>
        </w:rPr>
        <w:t>，</w:t>
      </w:r>
      <w:r>
        <w:rPr>
          <w:rFonts w:hint="eastAsia" w:ascii="仿宋_GB2312" w:hAnsi="仿宋_GB2312" w:cs="仿宋_GB2312"/>
          <w:kern w:val="0"/>
          <w:sz w:val="32"/>
          <w:szCs w:val="32"/>
          <w:lang w:val="en-US" w:eastAsia="zh-CN"/>
        </w:rPr>
        <w:t>公开了</w:t>
      </w:r>
      <w:r>
        <w:rPr>
          <w:rFonts w:hint="eastAsia" w:ascii="仿宋_GB2312" w:hAnsi="仿宋_GB2312" w:eastAsia="仿宋_GB2312" w:cs="仿宋_GB2312"/>
          <w:sz w:val="32"/>
          <w:szCs w:val="32"/>
          <w:lang w:val="en-US" w:eastAsia="zh-CN"/>
        </w:rPr>
        <w:t>学校</w:t>
      </w:r>
      <w:r>
        <w:rPr>
          <w:rFonts w:hint="eastAsia" w:ascii="仿宋_GB2312" w:hAnsi="仿宋_GB2312" w:cs="仿宋_GB2312"/>
          <w:sz w:val="32"/>
          <w:szCs w:val="32"/>
          <w:lang w:val="en-US" w:eastAsia="zh-CN"/>
        </w:rPr>
        <w:t>各部门、各二级学院的主要信息、规章制度、部门主要工作职责、办事程序等。突出公开了</w:t>
      </w:r>
      <w:r>
        <w:rPr>
          <w:rFonts w:hint="eastAsia" w:ascii="仿宋_GB2312" w:hAnsi="仿宋_GB2312" w:eastAsia="仿宋_GB2312" w:cs="仿宋_GB2312"/>
          <w:sz w:val="32"/>
          <w:szCs w:val="32"/>
          <w:lang w:val="en-US" w:eastAsia="zh-CN"/>
        </w:rPr>
        <w:t>机构设置调整和人事调配、招聘情况，学校资源调配情况，科研项目的申报、评审结果和立项资助情况</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eastAsia="zh-CN"/>
        </w:rPr>
        <w:t>招生信息，招、投标情况及结果，招聘条件、程序和结果等事项</w:t>
      </w:r>
      <w:r>
        <w:rPr>
          <w:rFonts w:hint="eastAsia" w:ascii="仿宋_GB2312" w:hAnsi="仿宋_GB2312" w:cs="仿宋_GB2312"/>
          <w:sz w:val="32"/>
          <w:szCs w:val="32"/>
          <w:lang w:val="en-US" w:eastAsia="zh-CN"/>
        </w:rPr>
        <w:t>。</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通过校园广播、信息公告栏、电子显示屏、文件、通知、会议纪要、年鉴、校报校刊等渠道面向社会或在学校一定范围内公开信息。</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通过教（工）代会、学代会、学术委员会</w:t>
      </w:r>
      <w:r>
        <w:rPr>
          <w:rFonts w:hint="eastAsia" w:ascii="仿宋_GB2312" w:hAnsi="仿宋_GB2312" w:cs="仿宋_GB2312"/>
          <w:sz w:val="32"/>
          <w:szCs w:val="32"/>
          <w:lang w:eastAsia="zh-CN"/>
        </w:rPr>
        <w:t>等各类会议，</w:t>
      </w:r>
      <w:r>
        <w:rPr>
          <w:rFonts w:hint="eastAsia" w:ascii="仿宋_GB2312" w:hAnsi="仿宋_GB2312" w:cs="仿宋_GB2312"/>
          <w:kern w:val="0"/>
          <w:sz w:val="32"/>
          <w:szCs w:val="32"/>
          <w:lang w:val="en-US" w:eastAsia="zh-CN"/>
        </w:rPr>
        <w:t>凡涉及学校改革发展全局、关系广大教职工切身利益和师生群众普遍关心的重大事项信息，均听取教代会和工代会意见、经过教代会和工代会讨论的民主管理和民主决策程序，提高教职工参与度，推进信息公开规范化。</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本学年度学校官网审核发布要闻139条，官微发布推文</w:t>
      </w:r>
      <w:r>
        <w:rPr>
          <w:rFonts w:hint="eastAsia" w:ascii="仿宋_GB2312" w:hAnsi="仿宋_GB2312" w:cs="仿宋_GB2312"/>
          <w:sz w:val="32"/>
          <w:szCs w:val="32"/>
          <w:lang w:val="en-US" w:eastAsia="zh-CN"/>
        </w:rPr>
        <w:t>1048</w:t>
      </w:r>
      <w:r>
        <w:rPr>
          <w:rFonts w:hint="eastAsia" w:ascii="仿宋_GB2312" w:hAnsi="仿宋_GB2312" w:eastAsia="仿宋_GB2312" w:cs="仿宋_GB2312"/>
          <w:sz w:val="32"/>
          <w:szCs w:val="32"/>
          <w:lang w:val="en-US" w:eastAsia="zh-CN"/>
        </w:rPr>
        <w:t>条，“青春宁职”发布推文</w:t>
      </w:r>
      <w:r>
        <w:rPr>
          <w:rFonts w:hint="eastAsia" w:ascii="仿宋_GB2312" w:hAnsi="仿宋_GB2312" w:cs="仿宋_GB2312"/>
          <w:sz w:val="32"/>
          <w:szCs w:val="32"/>
          <w:lang w:val="en-US" w:eastAsia="zh-CN"/>
        </w:rPr>
        <w:t>787</w:t>
      </w:r>
      <w:r>
        <w:rPr>
          <w:rFonts w:hint="eastAsia" w:ascii="仿宋_GB2312" w:hAnsi="仿宋_GB2312" w:eastAsia="仿宋_GB2312" w:cs="仿宋_GB2312"/>
          <w:sz w:val="32"/>
          <w:szCs w:val="32"/>
          <w:lang w:val="en-US" w:eastAsia="zh-CN"/>
        </w:rPr>
        <w:t>条，LED电子屏发布24条，答复12345诉求平台、市信访局、市教育局、学院书记、院长信箱等形式诉求件34份。保障了广大教职工和学生知情权和监督权，调动全体师生积极性，促进学校不断发展。</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3" w:firstLineChars="200"/>
        <w:textAlignment w:val="auto"/>
        <w:rPr>
          <w:rFonts w:hint="default" w:ascii="仿宋_GB2312" w:hAnsi="仿宋_GB2312" w:eastAsia="仿宋_GB2312" w:cs="仿宋_GB2312"/>
          <w:b/>
          <w:bCs/>
          <w:kern w:val="0"/>
          <w:sz w:val="32"/>
          <w:szCs w:val="32"/>
          <w:lang w:val="en-US" w:eastAsia="zh-CN"/>
        </w:rPr>
      </w:pPr>
      <w:r>
        <w:rPr>
          <w:rFonts w:hint="eastAsia" w:ascii="仿宋_GB2312" w:hAnsi="仿宋_GB2312" w:cs="仿宋_GB2312"/>
          <w:b/>
          <w:bCs/>
          <w:sz w:val="32"/>
          <w:szCs w:val="32"/>
          <w:lang w:eastAsia="zh-CN"/>
        </w:rPr>
        <w:t>二、信息公开情况</w:t>
      </w:r>
    </w:p>
    <w:p>
      <w:pPr>
        <w:pStyle w:val="4"/>
        <w:keepNext w:val="0"/>
        <w:keepLines w:val="0"/>
        <w:pageBreakBefore w:val="0"/>
        <w:widowControl/>
        <w:numPr>
          <w:ilvl w:val="0"/>
          <w:numId w:val="0"/>
        </w:numPr>
        <w:suppressLineNumbers w:val="0"/>
        <w:kinsoku/>
        <w:wordWrap/>
        <w:overflowPunct/>
        <w:topLinePunct w:val="0"/>
        <w:autoSpaceDE/>
        <w:autoSpaceDN/>
        <w:bidi w:val="0"/>
        <w:adjustRightInd/>
        <w:spacing w:before="0" w:beforeAutospacing="0" w:after="0" w:afterAutospacing="0" w:line="560" w:lineRule="exact"/>
        <w:ind w:right="0" w:rightChars="0" w:firstLine="643" w:firstLineChars="200"/>
        <w:jc w:val="both"/>
        <w:textAlignment w:val="auto"/>
        <w:outlineLvl w:val="9"/>
        <w:rPr>
          <w:rFonts w:hint="eastAsia" w:ascii="仿宋_GB2312" w:hAnsi="仿宋_GB2312" w:eastAsia="仿宋_GB2312" w:cs="仿宋_GB2312"/>
          <w:color w:val="auto"/>
          <w:sz w:val="32"/>
          <w:szCs w:val="32"/>
          <w:shd w:val="clear" w:color="auto" w:fill="auto"/>
        </w:rPr>
      </w:pPr>
      <w:r>
        <w:rPr>
          <w:rStyle w:val="8"/>
          <w:rFonts w:hint="eastAsia" w:ascii="仿宋_GB2312" w:hAnsi="仿宋_GB2312" w:eastAsia="仿宋_GB2312" w:cs="仿宋_GB2312"/>
          <w:color w:val="auto"/>
          <w:sz w:val="32"/>
          <w:szCs w:val="32"/>
          <w:shd w:val="clear" w:color="auto" w:fill="auto"/>
          <w:lang w:val="en-US" w:eastAsia="zh-CN"/>
        </w:rPr>
        <w:t>（一）学校</w:t>
      </w:r>
      <w:r>
        <w:rPr>
          <w:rStyle w:val="8"/>
          <w:rFonts w:hint="eastAsia" w:ascii="仿宋_GB2312" w:hAnsi="仿宋_GB2312" w:eastAsia="仿宋_GB2312" w:cs="仿宋_GB2312"/>
          <w:color w:val="auto"/>
          <w:sz w:val="32"/>
          <w:szCs w:val="32"/>
          <w:shd w:val="clear" w:color="auto" w:fill="auto"/>
        </w:rPr>
        <w:t>基本情况</w:t>
      </w:r>
      <w:r>
        <w:rPr>
          <w:rStyle w:val="8"/>
          <w:rFonts w:hint="eastAsia" w:ascii="仿宋_GB2312" w:hAnsi="仿宋_GB2312" w:eastAsia="仿宋_GB2312" w:cs="仿宋_GB2312"/>
          <w:color w:val="auto"/>
          <w:sz w:val="32"/>
          <w:szCs w:val="32"/>
          <w:shd w:val="clear" w:color="auto" w:fill="auto"/>
          <w:lang w:eastAsia="zh-CN"/>
        </w:rPr>
        <w:t>公开方面</w:t>
      </w:r>
      <w:r>
        <w:rPr>
          <w:rStyle w:val="8"/>
          <w:rFonts w:hint="eastAsia" w:ascii="仿宋_GB2312" w:hAnsi="仿宋_GB2312" w:eastAsia="仿宋_GB2312" w:cs="仿宋_GB2312"/>
          <w:color w:val="auto"/>
          <w:sz w:val="32"/>
          <w:szCs w:val="32"/>
          <w:shd w:val="clear" w:color="auto" w:fill="auto"/>
        </w:rPr>
        <w:t>。</w:t>
      </w:r>
      <w:r>
        <w:rPr>
          <w:rFonts w:hint="eastAsia" w:ascii="仿宋_GB2312" w:hAnsi="仿宋_GB2312" w:eastAsia="仿宋_GB2312" w:cs="仿宋_GB2312"/>
          <w:color w:val="auto"/>
          <w:sz w:val="32"/>
          <w:szCs w:val="32"/>
          <w:shd w:val="clear" w:color="auto" w:fill="auto"/>
          <w:lang w:eastAsia="zh-CN"/>
        </w:rPr>
        <w:t>学校</w:t>
      </w:r>
      <w:r>
        <w:rPr>
          <w:rFonts w:hint="eastAsia" w:ascii="仿宋_GB2312" w:hAnsi="仿宋_GB2312" w:eastAsia="仿宋_GB2312" w:cs="仿宋_GB2312"/>
          <w:color w:val="auto"/>
          <w:sz w:val="32"/>
          <w:szCs w:val="32"/>
          <w:shd w:val="clear" w:color="auto" w:fill="auto"/>
        </w:rPr>
        <w:t>基本信息主要通过</w:t>
      </w:r>
      <w:r>
        <w:rPr>
          <w:rFonts w:hint="eastAsia" w:ascii="仿宋_GB2312" w:hAnsi="仿宋_GB2312" w:eastAsia="仿宋_GB2312" w:cs="仿宋_GB2312"/>
          <w:color w:val="auto"/>
          <w:sz w:val="32"/>
          <w:szCs w:val="32"/>
          <w:shd w:val="clear" w:color="auto" w:fill="auto"/>
          <w:lang w:eastAsia="zh-CN"/>
        </w:rPr>
        <w:t>宁德职业技术学院</w:t>
      </w:r>
      <w:r>
        <w:rPr>
          <w:rFonts w:hint="eastAsia" w:ascii="仿宋_GB2312" w:hAnsi="仿宋_GB2312" w:eastAsia="仿宋_GB2312" w:cs="仿宋_GB2312"/>
          <w:color w:val="auto"/>
          <w:sz w:val="32"/>
          <w:szCs w:val="32"/>
          <w:shd w:val="clear" w:color="auto" w:fill="auto"/>
        </w:rPr>
        <w:t>主页(网址</w:t>
      </w:r>
      <w:r>
        <w:rPr>
          <w:rFonts w:hint="eastAsia"/>
          <w:color w:val="auto"/>
          <w:sz w:val="32"/>
          <w:szCs w:val="32"/>
          <w:shd w:val="clear" w:color="auto" w:fill="auto"/>
        </w:rPr>
        <w:t>)</w:t>
      </w:r>
      <w:r>
        <w:rPr>
          <w:rFonts w:hint="eastAsia" w:ascii="仿宋_GB2312" w:hAnsi="仿宋_GB2312" w:eastAsia="仿宋_GB2312" w:cs="仿宋_GB2312"/>
          <w:color w:val="auto"/>
          <w:sz w:val="32"/>
          <w:szCs w:val="32"/>
          <w:shd w:val="clear" w:color="auto" w:fill="auto"/>
          <w:lang w:eastAsia="zh-CN"/>
        </w:rPr>
        <w:t>https://www.ndzy.cn/</w:t>
      </w:r>
      <w:r>
        <w:rPr>
          <w:rFonts w:hint="eastAsia" w:ascii="仿宋_GB2312" w:hAnsi="仿宋_GB2312" w:eastAsia="仿宋_GB2312" w:cs="仿宋_GB2312"/>
          <w:color w:val="auto"/>
          <w:sz w:val="32"/>
          <w:szCs w:val="32"/>
          <w:shd w:val="clear" w:color="auto" w:fill="auto"/>
        </w:rPr>
        <w:t>对外公开，并定期进行更新，保证数据的准确性和完整性。各类文件通过办公自动化系统，让全体师生员工根据权限第一时间充分掌握和占有相关信息。</w:t>
      </w:r>
      <w:r>
        <w:rPr>
          <w:rFonts w:hint="eastAsia" w:ascii="仿宋_GB2312" w:hAnsi="仿宋_GB2312" w:eastAsia="仿宋_GB2312" w:cs="仿宋_GB2312"/>
          <w:color w:val="auto"/>
          <w:sz w:val="32"/>
          <w:szCs w:val="32"/>
          <w:shd w:val="clear" w:color="auto" w:fill="auto"/>
          <w:lang w:eastAsia="zh-CN"/>
        </w:rPr>
        <w:t>学校</w:t>
      </w:r>
      <w:r>
        <w:rPr>
          <w:rFonts w:hint="eastAsia" w:ascii="仿宋_GB2312" w:hAnsi="仿宋_GB2312" w:eastAsia="仿宋_GB2312" w:cs="仿宋_GB2312"/>
          <w:color w:val="auto"/>
          <w:sz w:val="32"/>
          <w:szCs w:val="32"/>
          <w:shd w:val="clear" w:color="auto" w:fill="auto"/>
        </w:rPr>
        <w:t>按照教育部办公厅和</w:t>
      </w:r>
      <w:r>
        <w:rPr>
          <w:rFonts w:hint="eastAsia" w:ascii="仿宋_GB2312" w:hAnsi="仿宋_GB2312" w:eastAsia="仿宋_GB2312" w:cs="仿宋_GB2312"/>
          <w:color w:val="auto"/>
          <w:sz w:val="32"/>
          <w:szCs w:val="32"/>
          <w:shd w:val="clear" w:color="auto" w:fill="auto"/>
          <w:lang w:val="en-US" w:eastAsia="zh-CN"/>
        </w:rPr>
        <w:t>教育厅</w:t>
      </w:r>
      <w:r>
        <w:rPr>
          <w:rFonts w:hint="eastAsia" w:ascii="仿宋_GB2312" w:hAnsi="仿宋_GB2312" w:eastAsia="仿宋_GB2312" w:cs="仿宋_GB2312"/>
          <w:color w:val="auto"/>
          <w:sz w:val="32"/>
          <w:szCs w:val="32"/>
          <w:shd w:val="clear" w:color="auto" w:fill="auto"/>
        </w:rPr>
        <w:t>办公室要求，在规定时间内将年度报告在</w:t>
      </w:r>
      <w:r>
        <w:rPr>
          <w:rFonts w:hint="eastAsia" w:ascii="仿宋_GB2312" w:hAnsi="仿宋_GB2312" w:eastAsia="仿宋_GB2312" w:cs="仿宋_GB2312"/>
          <w:color w:val="auto"/>
          <w:sz w:val="32"/>
          <w:szCs w:val="32"/>
          <w:shd w:val="clear" w:color="auto" w:fill="auto"/>
          <w:lang w:eastAsia="zh-CN"/>
        </w:rPr>
        <w:t>学院官</w:t>
      </w:r>
      <w:r>
        <w:rPr>
          <w:rFonts w:hint="eastAsia" w:ascii="仿宋_GB2312" w:hAnsi="仿宋_GB2312" w:eastAsia="仿宋_GB2312" w:cs="仿宋_GB2312"/>
          <w:color w:val="auto"/>
          <w:sz w:val="32"/>
          <w:szCs w:val="32"/>
          <w:shd w:val="clear" w:color="auto" w:fill="auto"/>
        </w:rPr>
        <w:t>网站向全社会公布。按照《福建省公办高校章程修订工作规程（试行）》文件规定，经学校研究、教职工代表大会审议,报请宁德市人民政府同意、福建省教育厅核准，学校印发《宁德职业技术学院章程（2023年)》，</w:t>
      </w:r>
      <w:r>
        <w:rPr>
          <w:rFonts w:hint="eastAsia" w:ascii="仿宋_GB2312" w:hAnsi="仿宋_GB2312" w:eastAsia="仿宋_GB2312" w:cs="仿宋_GB2312"/>
          <w:color w:val="auto"/>
          <w:sz w:val="32"/>
          <w:szCs w:val="32"/>
          <w:shd w:val="clear" w:color="auto" w:fill="auto"/>
          <w:lang w:eastAsia="zh-CN"/>
        </w:rPr>
        <w:t>在学院网站</w:t>
      </w:r>
      <w:r>
        <w:rPr>
          <w:rFonts w:hint="eastAsia" w:ascii="仿宋_GB2312" w:hAnsi="仿宋_GB2312" w:eastAsia="仿宋_GB2312" w:cs="仿宋_GB2312"/>
          <w:color w:val="auto"/>
          <w:sz w:val="32"/>
          <w:szCs w:val="32"/>
          <w:shd w:val="clear" w:color="auto" w:fill="auto"/>
        </w:rPr>
        <w:t>向社会公布。</w:t>
      </w:r>
    </w:p>
    <w:p>
      <w:pPr>
        <w:pStyle w:val="4"/>
        <w:keepNext w:val="0"/>
        <w:keepLines w:val="0"/>
        <w:pageBreakBefore w:val="0"/>
        <w:widowControl/>
        <w:numPr>
          <w:ilvl w:val="0"/>
          <w:numId w:val="0"/>
        </w:numPr>
        <w:suppressLineNumbers w:val="0"/>
        <w:kinsoku/>
        <w:wordWrap/>
        <w:overflowPunct/>
        <w:topLinePunct w:val="0"/>
        <w:autoSpaceDE/>
        <w:autoSpaceDN/>
        <w:bidi w:val="0"/>
        <w:adjustRightInd/>
        <w:spacing w:before="0" w:beforeAutospacing="0" w:after="0" w:afterAutospacing="0" w:line="560" w:lineRule="exact"/>
        <w:ind w:right="0" w:rightChars="0" w:firstLine="643" w:firstLineChars="200"/>
        <w:jc w:val="both"/>
        <w:textAlignment w:val="auto"/>
        <w:outlineLvl w:val="9"/>
        <w:rPr>
          <w:rFonts w:hint="eastAsia" w:ascii="仿宋_GB2312" w:hAnsi="仿宋_GB2312" w:eastAsia="仿宋_GB2312" w:cs="仿宋_GB2312"/>
          <w:color w:val="auto"/>
          <w:sz w:val="32"/>
          <w:szCs w:val="32"/>
          <w:shd w:val="clear" w:color="auto" w:fill="auto"/>
          <w:lang w:val="en-US" w:eastAsia="zh-CN"/>
        </w:rPr>
      </w:pPr>
      <w:r>
        <w:rPr>
          <w:rFonts w:hint="eastAsia" w:ascii="仿宋_GB2312" w:hAnsi="仿宋_GB2312" w:eastAsia="仿宋_GB2312" w:cs="仿宋_GB2312"/>
          <w:b/>
          <w:bCs/>
          <w:color w:val="auto"/>
          <w:sz w:val="32"/>
          <w:szCs w:val="32"/>
          <w:shd w:val="clear" w:color="auto" w:fill="auto"/>
          <w:lang w:val="en-US" w:eastAsia="zh-CN"/>
        </w:rPr>
        <w:t>（二）招生考试信息公开方面。</w:t>
      </w:r>
      <w:r>
        <w:rPr>
          <w:rFonts w:hint="eastAsia" w:ascii="仿宋_GB2312" w:hAnsi="仿宋_GB2312" w:eastAsia="仿宋_GB2312" w:cs="仿宋_GB2312"/>
          <w:color w:val="auto"/>
          <w:sz w:val="32"/>
          <w:szCs w:val="32"/>
          <w:shd w:val="clear" w:color="auto" w:fill="auto"/>
          <w:lang w:val="en-US" w:eastAsia="zh-CN"/>
        </w:rPr>
        <w:t>依法主动公开招生信息，深入实施招生阳光工程。学校招生网址：https://www.ndzy.cn/zsw。一是公开学校普通专科招生章程、艺术类招生办法、招生计划。公开的年度招生章程，涵盖学院基本办学情况、招生计划、学费标准等。在各省级招生主管部门面向社会公开我校在该省份分专业招生计划的同时，学校在学校招生网站和福建高考信息平台等进一步公开我校分省分专业招生计划。二是公开录取结果及查询渠道。学校招生网站即时更新2023年各省各批次录取进展情况及出档分数线，查询高考录取结果。三是公开考生咨询及申诉渠道。学校通过官方微信、招生网站、热线电话、网络招生咨询会、招办主任访谈等渠道为考生提供咨询服务工作。学校专门成立监察组，监督招生全过程，设立举报箱，公布举报电话，加强群众信访、咨询、来访工作。本学年招生考试工作过程中，我校未发生违规事件，新生复查期间，未收到任何疑议。</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eastAsia="zh-CN"/>
        </w:rPr>
        <w:t>（三）</w:t>
      </w:r>
      <w:r>
        <w:rPr>
          <w:rFonts w:hint="eastAsia" w:ascii="仿宋_GB2312" w:hAnsi="仿宋_GB2312" w:eastAsia="仿宋_GB2312" w:cs="仿宋_GB2312"/>
          <w:b/>
          <w:bCs/>
          <w:sz w:val="32"/>
          <w:szCs w:val="32"/>
        </w:rPr>
        <w:t>财务管理</w:t>
      </w:r>
      <w:r>
        <w:rPr>
          <w:rFonts w:hint="eastAsia" w:ascii="仿宋_GB2312" w:hAnsi="仿宋_GB2312" w:eastAsia="仿宋_GB2312" w:cs="仿宋_GB2312"/>
          <w:b/>
          <w:bCs/>
          <w:sz w:val="32"/>
          <w:szCs w:val="32"/>
          <w:lang w:eastAsia="zh-CN"/>
        </w:rPr>
        <w:t>信息</w:t>
      </w:r>
      <w:r>
        <w:rPr>
          <w:rFonts w:hint="eastAsia" w:ascii="仿宋_GB2312" w:hAnsi="仿宋_GB2312" w:eastAsia="仿宋_GB2312" w:cs="仿宋_GB2312"/>
          <w:b/>
          <w:bCs/>
          <w:sz w:val="32"/>
          <w:szCs w:val="32"/>
        </w:rPr>
        <w:t>公开</w:t>
      </w:r>
      <w:r>
        <w:rPr>
          <w:rFonts w:hint="eastAsia" w:ascii="仿宋_GB2312" w:hAnsi="仿宋_GB2312" w:eastAsia="仿宋_GB2312" w:cs="仿宋_GB2312"/>
          <w:b/>
          <w:bCs/>
          <w:sz w:val="32"/>
          <w:szCs w:val="32"/>
          <w:lang w:eastAsia="zh-CN"/>
        </w:rPr>
        <w:t>方面</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rPr>
        <w:t>财务科</w:t>
      </w:r>
      <w:r>
        <w:rPr>
          <w:rFonts w:hint="eastAsia" w:ascii="仿宋_GB2312" w:hAnsi="仿宋_GB2312" w:eastAsia="仿宋_GB2312" w:cs="仿宋_GB2312"/>
          <w:sz w:val="32"/>
          <w:szCs w:val="32"/>
          <w:lang w:eastAsia="zh-CN"/>
        </w:rPr>
        <w:t>主动</w:t>
      </w:r>
      <w:r>
        <w:rPr>
          <w:rFonts w:hint="eastAsia" w:ascii="仿宋_GB2312" w:hAnsi="仿宋_GB2312" w:eastAsia="仿宋_GB2312" w:cs="仿宋_GB2312"/>
          <w:sz w:val="32"/>
          <w:szCs w:val="32"/>
        </w:rPr>
        <w:t>向社会公开了</w:t>
      </w:r>
      <w:r>
        <w:rPr>
          <w:rFonts w:hint="eastAsia" w:ascii="仿宋_GB2312" w:hAnsi="仿宋_GB2312" w:eastAsia="仿宋_GB2312" w:cs="仿宋_GB2312"/>
          <w:sz w:val="32"/>
          <w:szCs w:val="32"/>
          <w:lang w:eastAsia="zh-CN"/>
        </w:rPr>
        <w:t>各项</w:t>
      </w:r>
      <w:r>
        <w:rPr>
          <w:rFonts w:hint="eastAsia" w:ascii="仿宋_GB2312" w:hAnsi="仿宋_GB2312" w:eastAsia="仿宋_GB2312" w:cs="仿宋_GB2312"/>
          <w:sz w:val="32"/>
          <w:szCs w:val="32"/>
        </w:rPr>
        <w:t>财务管理制度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财务收支情况各类报表及部门整体支出绩效目标和自评情况表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通过财务网站、收费公示牌、新生录取通知书、现场咨询点等渠道，向学生及家长、社会公开学校收费项目、收费标准、收费依据、收费范围等具体内容。并按宁德市发改委、财政局审批收费标准在学校财务科网址“财务公开/收费公开”专栏公开《宁德职业技术学院收费项目及标准》，接受社会监督。</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bCs/>
          <w:sz w:val="32"/>
          <w:szCs w:val="32"/>
          <w:lang w:eastAsia="zh-CN"/>
        </w:rPr>
        <w:t>（四）</w:t>
      </w:r>
      <w:r>
        <w:rPr>
          <w:rFonts w:hint="eastAsia" w:ascii="仿宋_GB2312" w:hAnsi="仿宋_GB2312" w:eastAsia="仿宋_GB2312" w:cs="仿宋_GB2312"/>
          <w:b/>
          <w:bCs/>
          <w:sz w:val="32"/>
          <w:szCs w:val="32"/>
        </w:rPr>
        <w:t>资产信息公开</w:t>
      </w:r>
      <w:r>
        <w:rPr>
          <w:rFonts w:hint="eastAsia" w:ascii="仿宋_GB2312" w:hAnsi="仿宋_GB2312" w:eastAsia="仿宋_GB2312" w:cs="仿宋_GB2312"/>
          <w:b/>
          <w:bCs/>
          <w:sz w:val="32"/>
          <w:szCs w:val="32"/>
          <w:lang w:eastAsia="zh-CN"/>
        </w:rPr>
        <w:t>方面</w:t>
      </w:r>
      <w:r>
        <w:rPr>
          <w:rFonts w:hint="eastAsia" w:ascii="仿宋_GB2312" w:hAnsi="仿宋_GB2312" w:eastAsia="仿宋_GB2312" w:cs="仿宋_GB2312"/>
          <w:b/>
          <w:bCs/>
          <w:sz w:val="32"/>
          <w:szCs w:val="32"/>
        </w:rPr>
        <w:t>。</w:t>
      </w:r>
      <w:r>
        <w:rPr>
          <w:rFonts w:hint="eastAsia" w:ascii="仿宋_GB2312" w:hAnsi="仿宋_GB2312" w:eastAsia="仿宋_GB2312" w:cs="仿宋_GB2312"/>
          <w:b w:val="0"/>
          <w:bCs w:val="0"/>
          <w:sz w:val="32"/>
          <w:szCs w:val="32"/>
          <w:lang w:val="en-US" w:eastAsia="zh-CN"/>
        </w:rPr>
        <w:t>学院秉承“公正、公平、公开、诚信”的采购原则，不断完善投招标工作，在中国政府采购网、福建省政府采购网、学院官网等公开所有项目的采购信息，公开进行招投标工作，及时公布中标结果，全程公开透明，接受投标方和社会的监督，方便师生随时了解、关注并监督学校采购工作。</w:t>
      </w:r>
      <w:r>
        <w:rPr>
          <w:rFonts w:hint="eastAsia" w:ascii="仿宋_GB2312" w:hAnsi="仿宋_GB2312" w:eastAsia="仿宋_GB2312" w:cs="仿宋_GB2312"/>
          <w:b w:val="0"/>
          <w:bCs w:val="0"/>
          <w:sz w:val="32"/>
          <w:szCs w:val="32"/>
          <w:lang w:eastAsia="zh-CN"/>
        </w:rPr>
        <w:t>本</w:t>
      </w:r>
      <w:r>
        <w:rPr>
          <w:rFonts w:hint="eastAsia" w:ascii="仿宋_GB2312" w:hAnsi="仿宋_GB2312" w:eastAsia="仿宋_GB2312" w:cs="仿宋_GB2312"/>
          <w:b w:val="0"/>
          <w:bCs w:val="0"/>
          <w:sz w:val="32"/>
          <w:szCs w:val="32"/>
        </w:rPr>
        <w:t>学年度完成委托招标代理机构政府采购计划与自行采购合计113次</w:t>
      </w:r>
      <w:r>
        <w:rPr>
          <w:rFonts w:hint="eastAsia" w:ascii="仿宋_GB2312" w:hAnsi="仿宋_GB2312" w:eastAsia="仿宋_GB2312" w:cs="仿宋_GB2312"/>
          <w:b w:val="0"/>
          <w:bCs w:val="0"/>
          <w:sz w:val="32"/>
          <w:szCs w:val="32"/>
          <w:lang w:eastAsia="zh-CN"/>
        </w:rPr>
        <w:t>。</w:t>
      </w:r>
    </w:p>
    <w:p>
      <w:pPr>
        <w:pStyle w:val="5"/>
        <w:keepNext w:val="0"/>
        <w:keepLines w:val="0"/>
        <w:pageBreakBefore w:val="0"/>
        <w:widowControl w:val="0"/>
        <w:numPr>
          <w:ilvl w:val="0"/>
          <w:numId w:val="0"/>
        </w:numPr>
        <w:kinsoku/>
        <w:wordWrap/>
        <w:overflowPunct/>
        <w:topLinePunct w:val="0"/>
        <w:autoSpaceDE/>
        <w:autoSpaceDN/>
        <w:bidi w:val="0"/>
        <w:adjustRightInd/>
        <w:snapToGrid/>
        <w:spacing w:after="0" w:line="560" w:lineRule="exact"/>
        <w:ind w:firstLine="643" w:firstLineChars="200"/>
        <w:textAlignment w:val="auto"/>
        <w:rPr>
          <w:rFonts w:hint="eastAsia" w:ascii="仿宋_GB2312" w:hAnsi="仿宋_GB2312" w:eastAsia="仿宋_GB2312" w:cs="仿宋_GB2312"/>
          <w:b w:val="0"/>
          <w:bCs w:val="0"/>
          <w:sz w:val="32"/>
          <w:szCs w:val="32"/>
          <w:lang w:eastAsia="zh-CN"/>
        </w:rPr>
      </w:pPr>
      <w:r>
        <w:rPr>
          <w:rFonts w:hint="eastAsia" w:ascii="仿宋_GB2312" w:hAnsi="仿宋_GB2312" w:cs="仿宋_GB2312"/>
          <w:b/>
          <w:bCs/>
          <w:sz w:val="32"/>
          <w:szCs w:val="32"/>
          <w:lang w:eastAsia="zh-CN"/>
        </w:rPr>
        <w:t>（五）干部</w:t>
      </w:r>
      <w:r>
        <w:rPr>
          <w:rFonts w:hint="eastAsia" w:ascii="仿宋_GB2312" w:hAnsi="仿宋_GB2312" w:eastAsia="仿宋_GB2312" w:cs="仿宋_GB2312"/>
          <w:b/>
          <w:bCs/>
          <w:sz w:val="32"/>
          <w:szCs w:val="32"/>
        </w:rPr>
        <w:t>人事工作</w:t>
      </w:r>
      <w:r>
        <w:rPr>
          <w:rFonts w:hint="eastAsia" w:ascii="仿宋_GB2312" w:hAnsi="仿宋_GB2312" w:cs="仿宋_GB2312"/>
          <w:b/>
          <w:bCs/>
          <w:sz w:val="32"/>
          <w:szCs w:val="32"/>
          <w:lang w:eastAsia="zh-CN"/>
        </w:rPr>
        <w:t>信息</w:t>
      </w:r>
      <w:r>
        <w:rPr>
          <w:rFonts w:hint="eastAsia" w:ascii="仿宋_GB2312" w:hAnsi="仿宋_GB2312" w:eastAsia="仿宋_GB2312" w:cs="仿宋_GB2312"/>
          <w:b/>
          <w:bCs/>
          <w:sz w:val="32"/>
          <w:szCs w:val="32"/>
        </w:rPr>
        <w:t>公开</w:t>
      </w:r>
      <w:r>
        <w:rPr>
          <w:rFonts w:hint="eastAsia" w:ascii="仿宋_GB2312" w:hAnsi="仿宋_GB2312" w:cs="仿宋_GB2312"/>
          <w:b/>
          <w:bCs/>
          <w:sz w:val="32"/>
          <w:szCs w:val="32"/>
          <w:lang w:eastAsia="zh-CN"/>
        </w:rPr>
        <w:t>方面</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lang w:eastAsia="zh-CN"/>
        </w:rPr>
        <w:t>严格根据《党政领导干部选拔任用条例》等有关规定，落实干部考察预告、干部任前公示、干部任免等公开工作，本学年度，通过学校LED电子屏等形式对</w:t>
      </w:r>
      <w:r>
        <w:rPr>
          <w:rFonts w:hint="eastAsia" w:ascii="仿宋_GB2312" w:hAnsi="仿宋_GB2312" w:cs="仿宋_GB2312"/>
          <w:sz w:val="32"/>
          <w:szCs w:val="32"/>
          <w:lang w:val="en-US" w:eastAsia="zh-CN"/>
        </w:rPr>
        <w:t>6</w:t>
      </w:r>
      <w:r>
        <w:rPr>
          <w:rFonts w:hint="eastAsia" w:ascii="仿宋_GB2312" w:hAnsi="仿宋_GB2312" w:eastAsia="仿宋_GB2312" w:cs="仿宋_GB2312"/>
          <w:sz w:val="32"/>
          <w:szCs w:val="32"/>
          <w:lang w:eastAsia="zh-CN"/>
        </w:rPr>
        <w:t>名干部任免情况进行公布</w:t>
      </w:r>
      <w:r>
        <w:rPr>
          <w:rFonts w:hint="eastAsia" w:ascii="仿宋_GB2312" w:hAnsi="仿宋_GB2312" w:cs="仿宋_GB2312"/>
          <w:sz w:val="32"/>
          <w:szCs w:val="32"/>
          <w:lang w:eastAsia="zh-CN"/>
        </w:rPr>
        <w:t>，接受社会监督</w:t>
      </w:r>
      <w:r>
        <w:rPr>
          <w:rFonts w:hint="eastAsia" w:ascii="仿宋_GB2312" w:hAnsi="仿宋_GB2312" w:cs="仿宋_GB2312"/>
          <w:sz w:val="32"/>
          <w:szCs w:val="32"/>
          <w:lang w:val="en-US" w:eastAsia="zh-CN"/>
        </w:rPr>
        <w:t>;</w:t>
      </w:r>
      <w:r>
        <w:rPr>
          <w:rFonts w:hint="eastAsia" w:ascii="仿宋_GB2312" w:hAnsi="仿宋_GB2312" w:cs="仿宋_GB2312"/>
          <w:sz w:val="32"/>
          <w:szCs w:val="32"/>
          <w:lang w:eastAsia="zh-CN"/>
        </w:rPr>
        <w:t>学校</w:t>
      </w:r>
      <w:r>
        <w:rPr>
          <w:rFonts w:hint="eastAsia" w:ascii="仿宋_GB2312" w:hAnsi="仿宋_GB2312" w:eastAsia="仿宋_GB2312" w:cs="仿宋_GB2312"/>
          <w:sz w:val="32"/>
          <w:szCs w:val="32"/>
          <w:lang w:eastAsia="zh-CN"/>
        </w:rPr>
        <w:t>领导干部无因公出国 （境）情况</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eastAsia="zh-CN"/>
        </w:rPr>
        <w:t>从严规范干部在社会组织兼职行为，2名领导干部按照有关政策和程序审批要求，兼任社会组织职务</w:t>
      </w:r>
      <w:r>
        <w:rPr>
          <w:rFonts w:hint="eastAsia" w:ascii="仿宋_GB2312" w:hAnsi="仿宋_GB2312" w:cs="仿宋_GB2312"/>
          <w:sz w:val="32"/>
          <w:szCs w:val="32"/>
          <w:lang w:val="en-US" w:eastAsia="zh-CN"/>
        </w:rPr>
        <w:t>;</w:t>
      </w:r>
      <w:r>
        <w:rPr>
          <w:rFonts w:hint="eastAsia" w:ascii="仿宋_GB2312" w:hAnsi="仿宋_GB2312" w:eastAsia="仿宋_GB2312" w:cs="仿宋_GB2312"/>
          <w:b w:val="0"/>
          <w:bCs w:val="0"/>
          <w:sz w:val="32"/>
          <w:szCs w:val="32"/>
        </w:rPr>
        <w:t>2022年教师等专业技术职务评聘工作严格按照《宁德职业技术学院教师等专业技术职务聘任制实施方案》（2021年修订）（宁职院人〔2021〕24号）执行，完成职务聘任41人，根据《宁德职业技术学院专业带头人和中青年骨干教师选拔办法（修订）》（宁职院教〔2021〕38号 ）评定专业带头人9人和专业骨干教师18人；开展人才招聘4次，主要通过学校网站、宁德市人力资源和社会保障局、福建考试报名网、福建省事业单位公开招聘考试报名平台等渠道发布，共计发布37条。</w:t>
      </w:r>
    </w:p>
    <w:p>
      <w:pPr>
        <w:pStyle w:val="4"/>
        <w:keepNext w:val="0"/>
        <w:keepLines w:val="0"/>
        <w:pageBreakBefore w:val="0"/>
        <w:widowControl/>
        <w:numPr>
          <w:ilvl w:val="0"/>
          <w:numId w:val="0"/>
        </w:numPr>
        <w:suppressLineNumbers w:val="0"/>
        <w:kinsoku/>
        <w:wordWrap/>
        <w:overflowPunct/>
        <w:topLinePunct w:val="0"/>
        <w:autoSpaceDE/>
        <w:autoSpaceDN/>
        <w:bidi w:val="0"/>
        <w:adjustRightInd/>
        <w:spacing w:before="0" w:beforeAutospacing="0" w:after="0" w:afterAutospacing="0" w:line="560" w:lineRule="exact"/>
        <w:ind w:right="0" w:rightChars="0" w:firstLine="643" w:firstLineChars="200"/>
        <w:jc w:val="both"/>
        <w:textAlignment w:val="auto"/>
        <w:outlineLvl w:val="9"/>
        <w:rPr>
          <w:rFonts w:hint="eastAsia" w:ascii="仿宋_GB2312" w:hAnsi="仿宋_GB2312" w:eastAsia="仿宋_GB2312" w:cs="仿宋_GB2312"/>
          <w:color w:val="auto"/>
          <w:sz w:val="32"/>
          <w:szCs w:val="32"/>
          <w:shd w:val="clear" w:color="auto" w:fill="auto"/>
          <w:lang w:eastAsia="zh-CN"/>
        </w:rPr>
      </w:pPr>
      <w:r>
        <w:rPr>
          <w:rFonts w:hint="eastAsia" w:ascii="仿宋_GB2312" w:hAnsi="仿宋_GB2312" w:cs="仿宋_GB2312"/>
          <w:b/>
          <w:bCs/>
          <w:sz w:val="32"/>
          <w:szCs w:val="32"/>
          <w:lang w:val="en-US" w:eastAsia="zh-CN"/>
        </w:rPr>
        <w:t>（六）教学质量信息公开方面。</w:t>
      </w:r>
      <w:r>
        <w:rPr>
          <w:rFonts w:hint="eastAsia" w:ascii="仿宋_GB2312" w:hAnsi="仿宋_GB2312" w:eastAsia="仿宋_GB2312" w:cs="仿宋_GB2312"/>
          <w:color w:val="auto"/>
          <w:sz w:val="32"/>
          <w:szCs w:val="32"/>
          <w:lang w:val="en-US" w:eastAsia="zh-CN"/>
        </w:rPr>
        <w:t>学</w:t>
      </w:r>
      <w:r>
        <w:rPr>
          <w:rFonts w:hint="eastAsia" w:ascii="仿宋_GB2312" w:hAnsi="仿宋_GB2312" w:eastAsia="仿宋_GB2312" w:cs="仿宋_GB2312"/>
          <w:color w:val="auto"/>
          <w:sz w:val="32"/>
          <w:szCs w:val="32"/>
          <w:lang w:eastAsia="zh-CN"/>
        </w:rPr>
        <w:t>校</w:t>
      </w:r>
      <w:r>
        <w:rPr>
          <w:rFonts w:hint="eastAsia" w:ascii="仿宋_GB2312" w:hAnsi="仿宋_GB2312" w:eastAsia="仿宋_GB2312" w:cs="仿宋_GB2312"/>
          <w:color w:val="auto"/>
          <w:sz w:val="32"/>
          <w:szCs w:val="32"/>
          <w:lang w:val="en-US" w:eastAsia="zh-CN"/>
        </w:rPr>
        <w:t>网站及教务处网站公布师资建设、专业设置、重大项目管理等教育教学情况。学校</w:t>
      </w:r>
      <w:r>
        <w:rPr>
          <w:rFonts w:hint="eastAsia" w:ascii="仿宋_GB2312" w:hAnsi="仿宋_GB2312" w:eastAsia="仿宋_GB2312" w:cs="仿宋_GB2312"/>
          <w:color w:val="auto"/>
          <w:sz w:val="32"/>
          <w:szCs w:val="32"/>
          <w:shd w:val="clear" w:color="auto" w:fill="auto"/>
          <w:lang w:val="en-US" w:eastAsia="zh-CN"/>
        </w:rPr>
        <w:t>现有教育部备案招生专业49个，其中在校生招生专业34个。本学年开设课程 582门。</w:t>
      </w:r>
      <w:r>
        <w:rPr>
          <w:rFonts w:hint="eastAsia" w:ascii="仿宋_GB2312" w:hAnsi="仿宋_GB2312" w:eastAsia="仿宋_GB2312" w:cs="仿宋_GB2312"/>
          <w:color w:val="auto"/>
          <w:sz w:val="32"/>
          <w:szCs w:val="32"/>
          <w:shd w:val="clear" w:color="auto" w:fill="auto"/>
        </w:rPr>
        <w:t>通过就业网站、QQ群等积极发布招聘信息，提供就业岗位6000多个；举办</w:t>
      </w:r>
      <w:r>
        <w:rPr>
          <w:rFonts w:hint="eastAsia" w:ascii="仿宋_GB2312" w:hAnsi="仿宋_GB2312" w:eastAsia="仿宋_GB2312" w:cs="仿宋_GB2312"/>
          <w:color w:val="auto"/>
          <w:sz w:val="32"/>
          <w:szCs w:val="32"/>
          <w:shd w:val="clear" w:color="auto" w:fill="auto"/>
          <w:lang w:eastAsia="zh-CN"/>
        </w:rPr>
        <w:t>各类大小型</w:t>
      </w:r>
      <w:r>
        <w:rPr>
          <w:rFonts w:hint="eastAsia" w:ascii="仿宋_GB2312" w:hAnsi="仿宋_GB2312" w:eastAsia="仿宋_GB2312" w:cs="仿宋_GB2312"/>
          <w:color w:val="auto"/>
          <w:sz w:val="32"/>
          <w:szCs w:val="32"/>
          <w:shd w:val="clear" w:color="auto" w:fill="auto"/>
        </w:rPr>
        <w:t>专场招聘</w:t>
      </w:r>
      <w:r>
        <w:rPr>
          <w:rFonts w:hint="eastAsia" w:ascii="仿宋_GB2312" w:hAnsi="仿宋_GB2312" w:eastAsia="仿宋_GB2312" w:cs="仿宋_GB2312"/>
          <w:color w:val="auto"/>
          <w:sz w:val="32"/>
          <w:szCs w:val="32"/>
          <w:shd w:val="clear" w:color="auto" w:fill="auto"/>
          <w:lang w:eastAsia="zh-CN"/>
        </w:rPr>
        <w:t>活动</w:t>
      </w:r>
      <w:r>
        <w:rPr>
          <w:rFonts w:hint="eastAsia" w:ascii="仿宋_GB2312" w:hAnsi="仿宋_GB2312" w:eastAsia="仿宋_GB2312" w:cs="仿宋_GB2312"/>
          <w:color w:val="auto"/>
          <w:sz w:val="32"/>
          <w:szCs w:val="32"/>
          <w:shd w:val="clear" w:color="auto" w:fill="auto"/>
        </w:rPr>
        <w:t>20多场，提供就业岗位5200余个。</w:t>
      </w:r>
      <w:r>
        <w:rPr>
          <w:rFonts w:hint="eastAsia" w:ascii="仿宋_GB2312" w:hAnsi="仿宋_GB2312" w:eastAsia="仿宋_GB2312" w:cs="仿宋_GB2312"/>
          <w:color w:val="auto"/>
          <w:sz w:val="32"/>
          <w:szCs w:val="32"/>
          <w:shd w:val="clear" w:color="auto" w:fill="auto"/>
          <w:lang w:eastAsia="zh-CN"/>
        </w:rPr>
        <w:t>学校</w:t>
      </w:r>
      <w:r>
        <w:rPr>
          <w:rFonts w:hint="eastAsia" w:ascii="仿宋_GB2312" w:hAnsi="仿宋_GB2312" w:eastAsia="仿宋_GB2312" w:cs="仿宋_GB2312"/>
          <w:color w:val="auto"/>
          <w:sz w:val="32"/>
          <w:szCs w:val="32"/>
          <w:shd w:val="clear" w:color="auto" w:fill="auto"/>
        </w:rPr>
        <w:t>领导带头开展访企拓岗促就业专项行动，共走访企业161家，拓展就业及实习岗位2600余个。编制了《宁德职业技术学院202</w:t>
      </w:r>
      <w:r>
        <w:rPr>
          <w:rFonts w:hint="eastAsia" w:ascii="仿宋_GB2312" w:hAnsi="仿宋_GB2312" w:eastAsia="仿宋_GB2312" w:cs="仿宋_GB2312"/>
          <w:color w:val="auto"/>
          <w:sz w:val="32"/>
          <w:szCs w:val="32"/>
          <w:shd w:val="clear" w:color="auto" w:fill="auto"/>
          <w:lang w:val="en-US" w:eastAsia="zh-CN"/>
        </w:rPr>
        <w:t>2</w:t>
      </w:r>
      <w:r>
        <w:rPr>
          <w:rFonts w:hint="eastAsia" w:ascii="仿宋_GB2312" w:hAnsi="仿宋_GB2312" w:eastAsia="仿宋_GB2312" w:cs="仿宋_GB2312"/>
          <w:color w:val="auto"/>
          <w:sz w:val="32"/>
          <w:szCs w:val="32"/>
          <w:shd w:val="clear" w:color="auto" w:fill="auto"/>
        </w:rPr>
        <w:t>年毕业生就业质量年度报告》</w:t>
      </w:r>
      <w:r>
        <w:rPr>
          <w:rFonts w:hint="eastAsia" w:ascii="仿宋_GB2312" w:hAnsi="仿宋_GB2312" w:eastAsia="仿宋_GB2312" w:cs="仿宋_GB2312"/>
          <w:color w:val="auto"/>
          <w:sz w:val="32"/>
          <w:szCs w:val="32"/>
          <w:shd w:val="clear" w:color="auto" w:fill="auto"/>
          <w:lang w:eastAsia="zh-CN"/>
        </w:rPr>
        <w:t>，</w:t>
      </w:r>
      <w:r>
        <w:rPr>
          <w:rFonts w:hint="eastAsia" w:ascii="仿宋_GB2312" w:hAnsi="仿宋_GB2312" w:eastAsia="仿宋_GB2312" w:cs="仿宋_GB2312"/>
          <w:color w:val="auto"/>
          <w:sz w:val="32"/>
          <w:szCs w:val="32"/>
          <w:shd w:val="clear" w:color="auto" w:fill="auto"/>
        </w:rPr>
        <w:t>《宁德职业技术学院高等职业教育质量年度报告（2023）》</w:t>
      </w:r>
      <w:r>
        <w:rPr>
          <w:rFonts w:hint="eastAsia" w:ascii="仿宋_GB2312" w:hAnsi="仿宋_GB2312" w:eastAsia="仿宋_GB2312" w:cs="仿宋_GB2312"/>
          <w:color w:val="auto"/>
          <w:sz w:val="32"/>
          <w:szCs w:val="32"/>
          <w:shd w:val="clear" w:color="auto" w:fill="auto"/>
          <w:lang w:eastAsia="zh-CN"/>
        </w:rPr>
        <w:t>，并依法公开。</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bCs/>
          <w:sz w:val="32"/>
          <w:szCs w:val="32"/>
          <w:lang w:eastAsia="zh-CN"/>
        </w:rPr>
        <w:t>（七）</w:t>
      </w:r>
      <w:r>
        <w:rPr>
          <w:rFonts w:hint="eastAsia" w:ascii="仿宋_GB2312" w:hAnsi="仿宋_GB2312" w:eastAsia="仿宋_GB2312" w:cs="仿宋_GB2312"/>
          <w:b/>
          <w:bCs/>
          <w:sz w:val="32"/>
          <w:szCs w:val="32"/>
        </w:rPr>
        <w:t>学生管理</w:t>
      </w:r>
      <w:r>
        <w:rPr>
          <w:rFonts w:hint="eastAsia" w:ascii="仿宋_GB2312" w:hAnsi="仿宋_GB2312" w:eastAsia="仿宋_GB2312" w:cs="仿宋_GB2312"/>
          <w:b/>
          <w:bCs/>
          <w:sz w:val="32"/>
          <w:szCs w:val="32"/>
          <w:lang w:eastAsia="zh-CN"/>
        </w:rPr>
        <w:t>信息</w:t>
      </w:r>
      <w:r>
        <w:rPr>
          <w:rFonts w:hint="eastAsia" w:ascii="仿宋_GB2312" w:hAnsi="仿宋_GB2312" w:eastAsia="仿宋_GB2312" w:cs="仿宋_GB2312"/>
          <w:b/>
          <w:bCs/>
          <w:sz w:val="32"/>
          <w:szCs w:val="32"/>
        </w:rPr>
        <w:t>公开</w:t>
      </w:r>
      <w:r>
        <w:rPr>
          <w:rFonts w:hint="eastAsia" w:ascii="仿宋_GB2312" w:hAnsi="仿宋_GB2312" w:eastAsia="仿宋_GB2312" w:cs="仿宋_GB2312"/>
          <w:b/>
          <w:bCs/>
          <w:sz w:val="32"/>
          <w:szCs w:val="32"/>
          <w:lang w:eastAsia="zh-CN"/>
        </w:rPr>
        <w:t>方面</w:t>
      </w:r>
      <w:r>
        <w:rPr>
          <w:rFonts w:hint="eastAsia" w:ascii="仿宋_GB2312" w:hAnsi="仿宋_GB2312" w:eastAsia="仿宋_GB2312" w:cs="仿宋_GB2312"/>
          <w:b/>
          <w:bCs/>
          <w:sz w:val="32"/>
          <w:szCs w:val="32"/>
        </w:rPr>
        <w:t>。</w:t>
      </w:r>
      <w:r>
        <w:rPr>
          <w:rFonts w:hint="eastAsia" w:ascii="仿宋_GB2312" w:hAnsi="仿宋_GB2312" w:eastAsia="仿宋_GB2312" w:cs="仿宋_GB2312"/>
          <w:color w:val="auto"/>
          <w:sz w:val="32"/>
          <w:szCs w:val="32"/>
          <w:lang w:val="en-US" w:eastAsia="zh-CN"/>
        </w:rPr>
        <w:t>通过学</w:t>
      </w:r>
      <w:r>
        <w:rPr>
          <w:rFonts w:hint="eastAsia" w:ascii="仿宋_GB2312" w:hAnsi="仿宋_GB2312" w:eastAsia="仿宋_GB2312" w:cs="仿宋_GB2312"/>
          <w:color w:val="auto"/>
          <w:sz w:val="32"/>
          <w:szCs w:val="32"/>
          <w:lang w:eastAsia="zh-CN"/>
        </w:rPr>
        <w:t>校</w:t>
      </w:r>
      <w:r>
        <w:rPr>
          <w:rFonts w:hint="eastAsia" w:ascii="仿宋_GB2312" w:hAnsi="仿宋_GB2312" w:eastAsia="仿宋_GB2312" w:cs="仿宋_GB2312"/>
          <w:color w:val="auto"/>
          <w:sz w:val="32"/>
          <w:szCs w:val="32"/>
          <w:lang w:val="en-US" w:eastAsia="zh-CN"/>
        </w:rPr>
        <w:t>网站、学生工作处网站及学生手册发布学籍管理办法、学生奖惩制度、学生申诉办法等制度；学生奖学金、助学金等评审结果按规定进行公示，接受全院师生的监督。适时公布就业政策、创新创业政策、招聘信息、就业服务、创业指导等，助力毕业生就业与创业。本年度</w:t>
      </w:r>
      <w:r>
        <w:rPr>
          <w:rFonts w:hint="eastAsia" w:ascii="仿宋_GB2312" w:hAnsi="仿宋_GB2312" w:eastAsia="仿宋_GB2312" w:cs="仿宋_GB2312"/>
          <w:b w:val="0"/>
          <w:bCs w:val="0"/>
          <w:sz w:val="32"/>
          <w:szCs w:val="32"/>
          <w:lang w:eastAsia="zh-CN"/>
        </w:rPr>
        <w:t>完成</w:t>
      </w:r>
      <w:r>
        <w:rPr>
          <w:rFonts w:hint="eastAsia" w:ascii="仿宋_GB2312" w:hAnsi="仿宋_GB2312" w:eastAsia="仿宋_GB2312" w:cs="仿宋_GB2312"/>
          <w:b w:val="0"/>
          <w:bCs w:val="0"/>
          <w:sz w:val="32"/>
          <w:szCs w:val="32"/>
        </w:rPr>
        <w:t>生源地助学贷款810人</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资助困难学生1547人次，设立勤工助学岗位1679人次，评定奖学金2219人次</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评选校级先进个人141人次、校先进班集体9个，发放一次性求职创业补贴187 名。</w:t>
      </w:r>
    </w:p>
    <w:p>
      <w:pPr>
        <w:keepNext w:val="0"/>
        <w:keepLines w:val="0"/>
        <w:pageBreakBefore w:val="0"/>
        <w:widowControl/>
        <w:kinsoku/>
        <w:wordWrap/>
        <w:overflowPunct/>
        <w:topLinePunct w:val="0"/>
        <w:autoSpaceDE/>
        <w:autoSpaceDN/>
        <w:bidi w:val="0"/>
        <w:adjustRightInd/>
        <w:spacing w:before="0" w:beforeAutospacing="0" w:afterAutospacing="0" w:line="560" w:lineRule="exact"/>
        <w:ind w:firstLine="645"/>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b/>
          <w:color w:val="auto"/>
          <w:sz w:val="32"/>
          <w:szCs w:val="32"/>
          <w:lang w:val="en-US" w:eastAsia="zh-CN" w:bidi="ar-SA"/>
        </w:rPr>
        <w:t>（八）学风建设信息公开方面。</w:t>
      </w:r>
      <w:r>
        <w:rPr>
          <w:rFonts w:hint="eastAsia" w:ascii="仿宋_GB2312" w:hAnsi="仿宋_GB2312" w:eastAsia="仿宋_GB2312" w:cs="仿宋_GB2312"/>
          <w:color w:val="auto"/>
          <w:sz w:val="32"/>
          <w:szCs w:val="32"/>
          <w:lang w:val="en-US" w:eastAsia="zh-CN"/>
        </w:rPr>
        <w:t>及时对学风、教风、学术不端等上级文件进行转发通知，</w:t>
      </w:r>
      <w:r>
        <w:rPr>
          <w:rFonts w:hint="eastAsia" w:ascii="仿宋_GB2312" w:hAnsi="仿宋_GB2312" w:eastAsia="仿宋_GB2312" w:cs="仿宋_GB2312"/>
          <w:color w:val="auto"/>
          <w:sz w:val="32"/>
          <w:szCs w:val="32"/>
          <w:lang w:val="en-US" w:eastAsia="zh-CN" w:bidi="ar-SA"/>
        </w:rPr>
        <w:t>坚持按照相关文件要求，严格按程序进行评选，没有出现学术不端事件，相关评比、评选结果，坚持公示制度，接受全体师生的监督，确保权力在阳光下运行，确保每一个学生的利益不受损害。</w:t>
      </w:r>
    </w:p>
    <w:p>
      <w:pPr>
        <w:pStyle w:val="4"/>
        <w:keepNext w:val="0"/>
        <w:keepLines w:val="0"/>
        <w:pageBreakBefore w:val="0"/>
        <w:widowControl/>
        <w:suppressLineNumbers w:val="0"/>
        <w:kinsoku/>
        <w:wordWrap/>
        <w:overflowPunct/>
        <w:topLinePunct w:val="0"/>
        <w:autoSpaceDE/>
        <w:autoSpaceDN/>
        <w:bidi w:val="0"/>
        <w:adjustRightInd/>
        <w:spacing w:before="0" w:beforeAutospacing="0" w:after="0" w:afterAutospacing="0" w:line="560" w:lineRule="exact"/>
        <w:ind w:left="0" w:leftChars="0" w:right="0" w:rightChars="0" w:firstLine="645"/>
        <w:jc w:val="both"/>
        <w:textAlignment w:val="auto"/>
        <w:outlineLvl w:val="9"/>
        <w:rPr>
          <w:color w:val="auto"/>
          <w:sz w:val="32"/>
          <w:szCs w:val="32"/>
          <w:shd w:val="clear" w:color="auto" w:fill="auto"/>
        </w:rPr>
      </w:pPr>
      <w:r>
        <w:rPr>
          <w:rFonts w:hint="eastAsia" w:ascii="黑体" w:eastAsia="黑体" w:cs="黑体"/>
          <w:color w:val="auto"/>
          <w:sz w:val="32"/>
          <w:szCs w:val="32"/>
          <w:shd w:val="clear" w:color="auto" w:fill="auto"/>
          <w:lang w:eastAsia="zh-CN"/>
        </w:rPr>
        <w:t>三、</w:t>
      </w:r>
      <w:r>
        <w:rPr>
          <w:rFonts w:hint="eastAsia" w:ascii="黑体" w:eastAsia="黑体" w:cs="黑体"/>
          <w:color w:val="auto"/>
          <w:sz w:val="32"/>
          <w:szCs w:val="32"/>
          <w:shd w:val="clear" w:color="auto" w:fill="auto"/>
        </w:rPr>
        <w:t>依申请公开和不予公开情况</w:t>
      </w:r>
    </w:p>
    <w:p>
      <w:pPr>
        <w:pStyle w:val="5"/>
        <w:keepNext w:val="0"/>
        <w:keepLines w:val="0"/>
        <w:pageBreakBefore w:val="0"/>
        <w:kinsoku/>
        <w:wordWrap/>
        <w:overflowPunct/>
        <w:topLinePunct w:val="0"/>
        <w:autoSpaceDE/>
        <w:autoSpaceDN/>
        <w:bidi w:val="0"/>
        <w:adjustRightInd/>
        <w:spacing w:after="0"/>
        <w:ind w:left="0" w:leftChars="0" w:firstLine="640" w:firstLineChars="200"/>
        <w:textAlignment w:val="auto"/>
        <w:rPr>
          <w:rFonts w:hint="eastAsia" w:ascii="仿宋_GB2312" w:hAnsi="仿宋_GB2312" w:eastAsia="仿宋_GB2312" w:cs="仿宋_GB2312"/>
          <w:color w:val="auto"/>
          <w:sz w:val="32"/>
          <w:szCs w:val="32"/>
          <w:shd w:val="clear" w:color="auto" w:fill="auto"/>
          <w:lang w:val="en-US" w:eastAsia="zh-CN"/>
        </w:rPr>
      </w:pPr>
      <w:r>
        <w:rPr>
          <w:rFonts w:hint="eastAsia" w:ascii="仿宋_GB2312" w:hAnsi="仿宋_GB2312" w:cs="仿宋_GB2312"/>
          <w:color w:val="auto"/>
          <w:sz w:val="32"/>
          <w:szCs w:val="32"/>
          <w:shd w:val="clear" w:color="auto" w:fill="auto"/>
          <w:lang w:eastAsia="zh-CN"/>
        </w:rPr>
        <w:t>学校</w:t>
      </w:r>
      <w:r>
        <w:rPr>
          <w:rFonts w:hint="eastAsia" w:ascii="仿宋_GB2312" w:hAnsi="仿宋_GB2312" w:eastAsia="仿宋_GB2312" w:cs="仿宋_GB2312"/>
          <w:color w:val="auto"/>
          <w:sz w:val="32"/>
          <w:szCs w:val="32"/>
          <w:shd w:val="clear" w:color="auto" w:fill="auto"/>
        </w:rPr>
        <w:t>明确了依申请公开的受理机构是</w:t>
      </w:r>
      <w:r>
        <w:rPr>
          <w:rFonts w:hint="eastAsia" w:ascii="仿宋_GB2312" w:hAnsi="仿宋_GB2312" w:cs="仿宋_GB2312"/>
          <w:color w:val="auto"/>
          <w:sz w:val="32"/>
          <w:szCs w:val="32"/>
          <w:shd w:val="clear" w:color="auto" w:fill="auto"/>
          <w:lang w:eastAsia="zh-CN"/>
        </w:rPr>
        <w:t>学校</w:t>
      </w:r>
      <w:r>
        <w:rPr>
          <w:rFonts w:hint="eastAsia" w:ascii="仿宋_GB2312" w:hAnsi="仿宋_GB2312" w:eastAsia="仿宋_GB2312" w:cs="仿宋_GB2312"/>
          <w:color w:val="auto"/>
          <w:sz w:val="32"/>
          <w:szCs w:val="32"/>
          <w:shd w:val="clear" w:color="auto" w:fill="auto"/>
        </w:rPr>
        <w:t>信息公开领导小组办公室，并公开了受理的相关信息。本学年度未收到社会公众和师生员工的相关信息公开申请</w:t>
      </w:r>
      <w:r>
        <w:rPr>
          <w:rFonts w:hint="eastAsia" w:ascii="仿宋_GB2312" w:hAnsi="仿宋_GB2312" w:eastAsia="仿宋_GB2312" w:cs="仿宋_GB2312"/>
          <w:color w:val="auto"/>
          <w:sz w:val="32"/>
          <w:szCs w:val="32"/>
          <w:shd w:val="clear" w:color="auto" w:fill="auto"/>
          <w:lang w:val="en-US" w:eastAsia="zh-CN"/>
        </w:rPr>
        <w:t>。</w:t>
      </w:r>
    </w:p>
    <w:p>
      <w:pPr>
        <w:keepNext w:val="0"/>
        <w:keepLines w:val="0"/>
        <w:pageBreakBefore w:val="0"/>
        <w:widowControl w:val="0"/>
        <w:tabs>
          <w:tab w:val="left" w:pos="1026"/>
        </w:tabs>
        <w:kinsoku/>
        <w:wordWrap/>
        <w:overflowPunct/>
        <w:topLinePunct w:val="0"/>
        <w:autoSpaceDE/>
        <w:autoSpaceDN/>
        <w:bidi w:val="0"/>
        <w:adjustRightInd/>
        <w:snapToGrid/>
        <w:spacing w:line="560" w:lineRule="exact"/>
        <w:ind w:firstLine="640" w:firstLineChars="200"/>
        <w:jc w:val="left"/>
        <w:textAlignment w:val="auto"/>
        <w:rPr>
          <w:rFonts w:hint="eastAsia" w:ascii="黑体" w:hAnsi="Times New Roman" w:eastAsia="黑体" w:cs="黑体"/>
          <w:color w:val="auto"/>
          <w:kern w:val="0"/>
          <w:sz w:val="32"/>
          <w:szCs w:val="32"/>
          <w:shd w:val="clear" w:color="auto" w:fill="auto"/>
          <w:lang w:val="en-US" w:eastAsia="zh-CN" w:bidi="ar"/>
        </w:rPr>
      </w:pPr>
      <w:r>
        <w:rPr>
          <w:rFonts w:hint="eastAsia" w:ascii="黑体" w:hAnsi="Times New Roman" w:eastAsia="黑体" w:cs="黑体"/>
          <w:color w:val="auto"/>
          <w:kern w:val="0"/>
          <w:sz w:val="32"/>
          <w:szCs w:val="32"/>
          <w:shd w:val="clear" w:color="auto" w:fill="auto"/>
          <w:lang w:val="en-US" w:eastAsia="zh-CN" w:bidi="ar"/>
        </w:rPr>
        <w:t>四、信息公开工作存在的问题和改进措施</w:t>
      </w:r>
    </w:p>
    <w:p>
      <w:pPr>
        <w:keepNext w:val="0"/>
        <w:keepLines w:val="0"/>
        <w:pageBreakBefore w:val="0"/>
        <w:widowControl w:val="0"/>
        <w:tabs>
          <w:tab w:val="left" w:pos="1551"/>
        </w:tabs>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目前，在</w:t>
      </w:r>
      <w:r>
        <w:rPr>
          <w:rFonts w:hint="eastAsia" w:ascii="仿宋_GB2312" w:hAnsi="仿宋_GB2312" w:eastAsia="仿宋_GB2312" w:cs="仿宋_GB2312"/>
          <w:b w:val="0"/>
          <w:bCs w:val="0"/>
          <w:sz w:val="32"/>
          <w:szCs w:val="32"/>
          <w:lang w:eastAsia="zh-CN"/>
        </w:rPr>
        <w:t>信息公开</w:t>
      </w:r>
      <w:r>
        <w:rPr>
          <w:rFonts w:hint="eastAsia" w:ascii="仿宋_GB2312" w:hAnsi="仿宋_GB2312" w:eastAsia="仿宋_GB2312" w:cs="仿宋_GB2312"/>
          <w:b w:val="0"/>
          <w:bCs w:val="0"/>
          <w:sz w:val="32"/>
          <w:szCs w:val="32"/>
        </w:rPr>
        <w:t>实施过程中还存在</w:t>
      </w:r>
      <w:r>
        <w:rPr>
          <w:rFonts w:hint="eastAsia" w:ascii="仿宋_GB2312" w:hAnsi="仿宋_GB2312" w:eastAsia="仿宋_GB2312" w:cs="仿宋_GB2312"/>
          <w:b w:val="0"/>
          <w:bCs w:val="0"/>
          <w:sz w:val="32"/>
          <w:szCs w:val="32"/>
          <w:lang w:eastAsia="zh-CN"/>
        </w:rPr>
        <w:t>一些不足之处</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一是</w:t>
      </w:r>
      <w:r>
        <w:rPr>
          <w:rFonts w:hint="eastAsia" w:ascii="仿宋_GB2312" w:hAnsi="仿宋_GB2312" w:eastAsia="仿宋_GB2312" w:cs="仿宋_GB2312"/>
          <w:b w:val="0"/>
          <w:bCs w:val="0"/>
          <w:sz w:val="32"/>
          <w:szCs w:val="32"/>
        </w:rPr>
        <w:t>信息公开</w:t>
      </w:r>
      <w:r>
        <w:rPr>
          <w:rFonts w:hint="eastAsia" w:ascii="仿宋_GB2312" w:hAnsi="仿宋_GB2312" w:eastAsia="仿宋_GB2312" w:cs="仿宋_GB2312"/>
          <w:b w:val="0"/>
          <w:bCs w:val="0"/>
          <w:sz w:val="32"/>
          <w:szCs w:val="32"/>
          <w:lang w:eastAsia="zh-CN"/>
        </w:rPr>
        <w:t>评议机制不健全</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二是二级部门信息公开存在不平衡现象。</w:t>
      </w:r>
    </w:p>
    <w:p>
      <w:pPr>
        <w:pStyle w:val="5"/>
        <w:keepNext w:val="0"/>
        <w:keepLines w:val="0"/>
        <w:pageBreakBefore w:val="0"/>
        <w:kinsoku/>
        <w:wordWrap/>
        <w:overflowPunct/>
        <w:topLinePunct w:val="0"/>
        <w:autoSpaceDE/>
        <w:autoSpaceDN/>
        <w:bidi w:val="0"/>
        <w:adjustRightInd/>
        <w:spacing w:after="0"/>
        <w:ind w:left="0" w:leftChars="0"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学校将在以下方面进一步加强</w:t>
      </w:r>
      <w:r>
        <w:rPr>
          <w:rFonts w:hint="eastAsia" w:ascii="仿宋_GB2312" w:hAnsi="仿宋_GB2312" w:cs="仿宋_GB2312"/>
          <w:b w:val="0"/>
          <w:bCs w:val="0"/>
          <w:sz w:val="32"/>
          <w:szCs w:val="32"/>
          <w:lang w:val="en-US" w:eastAsia="zh-CN"/>
        </w:rPr>
        <w:t>信息</w:t>
      </w:r>
      <w:r>
        <w:rPr>
          <w:rFonts w:hint="eastAsia" w:ascii="仿宋_GB2312" w:hAnsi="仿宋_GB2312" w:eastAsia="仿宋_GB2312" w:cs="仿宋_GB2312"/>
          <w:b w:val="0"/>
          <w:bCs w:val="0"/>
          <w:sz w:val="32"/>
          <w:szCs w:val="32"/>
          <w:lang w:val="en-US" w:eastAsia="zh-CN"/>
        </w:rPr>
        <w:t>公开工作：</w:t>
      </w:r>
    </w:p>
    <w:p>
      <w:pPr>
        <w:pStyle w:val="4"/>
        <w:keepNext w:val="0"/>
        <w:keepLines w:val="0"/>
        <w:pageBreakBefore w:val="0"/>
        <w:widowControl/>
        <w:suppressLineNumbers w:val="0"/>
        <w:kinsoku/>
        <w:wordWrap/>
        <w:overflowPunct/>
        <w:topLinePunct w:val="0"/>
        <w:autoSpaceDE/>
        <w:autoSpaceDN/>
        <w:bidi w:val="0"/>
        <w:adjustRightInd/>
        <w:spacing w:before="0" w:beforeAutospacing="0" w:after="0" w:afterAutospacing="0" w:line="560" w:lineRule="exact"/>
        <w:ind w:right="0" w:rightChars="0" w:firstLine="640" w:firstLineChars="200"/>
        <w:jc w:val="both"/>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（一）进一步</w:t>
      </w:r>
      <w:r>
        <w:rPr>
          <w:rFonts w:hint="eastAsia" w:ascii="仿宋_GB2312" w:hAnsi="仿宋_GB2312" w:eastAsia="仿宋_GB2312" w:cs="仿宋_GB2312"/>
          <w:b w:val="0"/>
          <w:bCs w:val="0"/>
          <w:sz w:val="32"/>
          <w:szCs w:val="32"/>
        </w:rPr>
        <w:t>加强</w:t>
      </w:r>
      <w:r>
        <w:rPr>
          <w:rFonts w:hint="eastAsia" w:ascii="仿宋_GB2312" w:hAnsi="仿宋_GB2312" w:eastAsia="仿宋_GB2312" w:cs="仿宋_GB2312"/>
          <w:b w:val="0"/>
          <w:bCs w:val="0"/>
          <w:sz w:val="32"/>
          <w:szCs w:val="32"/>
          <w:lang w:eastAsia="zh-CN"/>
        </w:rPr>
        <w:t>信息</w:t>
      </w:r>
      <w:r>
        <w:rPr>
          <w:rFonts w:hint="eastAsia" w:ascii="仿宋_GB2312" w:hAnsi="仿宋_GB2312" w:eastAsia="仿宋_GB2312" w:cs="仿宋_GB2312"/>
          <w:b w:val="0"/>
          <w:bCs w:val="0"/>
          <w:sz w:val="32"/>
          <w:szCs w:val="32"/>
        </w:rPr>
        <w:t>公开工作</w:t>
      </w:r>
      <w:r>
        <w:rPr>
          <w:rFonts w:hint="eastAsia" w:ascii="仿宋_GB2312" w:hAnsi="仿宋_GB2312" w:eastAsia="仿宋_GB2312" w:cs="仿宋_GB2312"/>
          <w:b w:val="0"/>
          <w:bCs w:val="0"/>
          <w:sz w:val="32"/>
          <w:szCs w:val="32"/>
          <w:lang w:eastAsia="zh-CN"/>
        </w:rPr>
        <w:t>的宣传动员</w:t>
      </w:r>
      <w:r>
        <w:rPr>
          <w:rFonts w:hint="eastAsia" w:ascii="仿宋_GB2312" w:hAnsi="仿宋_GB2312" w:eastAsia="仿宋_GB2312" w:cs="仿宋_GB2312"/>
          <w:b w:val="0"/>
          <w:bCs w:val="0"/>
          <w:sz w:val="32"/>
          <w:szCs w:val="32"/>
        </w:rPr>
        <w:t>。组织</w:t>
      </w:r>
      <w:r>
        <w:rPr>
          <w:rFonts w:hint="eastAsia" w:ascii="仿宋_GB2312" w:hAnsi="仿宋_GB2312" w:eastAsia="仿宋_GB2312" w:cs="仿宋_GB2312"/>
          <w:b w:val="0"/>
          <w:bCs w:val="0"/>
          <w:sz w:val="32"/>
          <w:szCs w:val="32"/>
          <w:lang w:eastAsia="zh-CN"/>
        </w:rPr>
        <w:t>各部门、二级学院</w:t>
      </w:r>
      <w:r>
        <w:rPr>
          <w:rFonts w:hint="eastAsia" w:ascii="仿宋_GB2312" w:hAnsi="仿宋_GB2312" w:eastAsia="仿宋_GB2312" w:cs="仿宋_GB2312"/>
          <w:b w:val="0"/>
          <w:bCs w:val="0"/>
          <w:sz w:val="32"/>
          <w:szCs w:val="32"/>
        </w:rPr>
        <w:t>开展对</w:t>
      </w:r>
      <w:r>
        <w:rPr>
          <w:rFonts w:hint="eastAsia" w:ascii="仿宋_GB2312" w:hAnsi="仿宋_GB2312" w:eastAsia="仿宋_GB2312" w:cs="仿宋_GB2312"/>
          <w:b w:val="0"/>
          <w:bCs w:val="0"/>
          <w:sz w:val="32"/>
          <w:szCs w:val="32"/>
          <w:lang w:eastAsia="zh-CN"/>
        </w:rPr>
        <w:t>信息</w:t>
      </w:r>
      <w:r>
        <w:rPr>
          <w:rFonts w:hint="eastAsia" w:ascii="仿宋_GB2312" w:hAnsi="仿宋_GB2312" w:eastAsia="仿宋_GB2312" w:cs="仿宋_GB2312"/>
          <w:b w:val="0"/>
          <w:bCs w:val="0"/>
          <w:sz w:val="32"/>
          <w:szCs w:val="32"/>
        </w:rPr>
        <w:t>公开有关法律法规和规章制度</w:t>
      </w:r>
      <w:r>
        <w:rPr>
          <w:rFonts w:hint="eastAsia" w:ascii="仿宋_GB2312" w:hAnsi="仿宋_GB2312" w:eastAsia="仿宋_GB2312" w:cs="仿宋_GB2312"/>
          <w:b w:val="0"/>
          <w:bCs w:val="0"/>
          <w:sz w:val="32"/>
          <w:szCs w:val="32"/>
          <w:lang w:eastAsia="zh-CN"/>
        </w:rPr>
        <w:t>的</w:t>
      </w:r>
      <w:r>
        <w:rPr>
          <w:rFonts w:hint="eastAsia" w:ascii="仿宋_GB2312" w:hAnsi="仿宋_GB2312" w:eastAsia="仿宋_GB2312" w:cs="仿宋_GB2312"/>
          <w:b w:val="0"/>
          <w:bCs w:val="0"/>
          <w:sz w:val="32"/>
          <w:szCs w:val="32"/>
        </w:rPr>
        <w:t>学</w:t>
      </w:r>
    </w:p>
    <w:p>
      <w:pPr>
        <w:pStyle w:val="5"/>
        <w:keepNext w:val="0"/>
        <w:keepLines w:val="0"/>
        <w:pageBreakBefore w:val="0"/>
        <w:kinsoku/>
        <w:wordWrap/>
        <w:overflowPunct/>
        <w:topLinePunct w:val="0"/>
        <w:autoSpaceDE/>
        <w:autoSpaceDN/>
        <w:bidi w:val="0"/>
        <w:adjustRightInd/>
        <w:spacing w:line="240" w:lineRule="auto"/>
        <w:ind w:left="0" w:leftChars="0"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drawing>
          <wp:inline distT="0" distB="0" distL="114300" distR="114300">
            <wp:extent cx="5687695" cy="7562850"/>
            <wp:effectExtent l="0" t="0" r="8255" b="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5"/>
                    <a:stretch>
                      <a:fillRect/>
                    </a:stretch>
                  </pic:blipFill>
                  <pic:spPr>
                    <a:xfrm>
                      <a:off x="0" y="0"/>
                      <a:ext cx="5687695" cy="7562850"/>
                    </a:xfrm>
                    <a:prstGeom prst="rect">
                      <a:avLst/>
                    </a:prstGeom>
                  </pic:spPr>
                </pic:pic>
              </a:graphicData>
            </a:graphic>
          </wp:inline>
        </w:drawing>
      </w:r>
    </w:p>
    <w:p>
      <w:pPr>
        <w:pStyle w:val="5"/>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cs="仿宋_GB2312"/>
          <w:sz w:val="32"/>
          <w:szCs w:val="32"/>
          <w:lang w:val="en-US" w:eastAsia="zh-CN"/>
        </w:rPr>
      </w:pPr>
    </w:p>
    <w:p>
      <w:pPr>
        <w:pStyle w:val="4"/>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560" w:lineRule="exact"/>
        <w:ind w:right="0" w:rightChars="0"/>
        <w:jc w:val="both"/>
        <w:textAlignment w:val="auto"/>
        <w:outlineLvl w:val="9"/>
        <w:rPr>
          <w:rFonts w:hint="default" w:ascii="仿宋_GB2312" w:hAnsi="仿宋_GB2312" w:eastAsia="仿宋_GB2312" w:cs="仿宋_GB2312"/>
          <w:color w:val="auto"/>
          <w:sz w:val="32"/>
          <w:szCs w:val="32"/>
          <w:shd w:val="clear" w:color="auto" w:fill="auto"/>
          <w:lang w:val="en-US" w:eastAsia="zh-CN"/>
        </w:rPr>
      </w:pP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460" w:lineRule="exact"/>
        <w:ind w:right="0" w:rightChars="0"/>
        <w:jc w:val="both"/>
        <w:textAlignment w:val="auto"/>
        <w:outlineLvl w:val="9"/>
        <w:rPr>
          <w:rFonts w:hint="eastAsia" w:ascii="黑体" w:hAnsi="黑体" w:eastAsia="黑体" w:cs="黑体"/>
          <w:color w:val="auto"/>
          <w:sz w:val="32"/>
          <w:szCs w:val="32"/>
          <w:shd w:val="clear" w:color="auto" w:fill="auto"/>
          <w:lang w:val="en-US" w:eastAsia="zh-CN"/>
        </w:rPr>
      </w:pPr>
      <w:r>
        <w:rPr>
          <w:rFonts w:hint="eastAsia" w:ascii="黑体" w:hAnsi="黑体" w:eastAsia="黑体" w:cs="黑体"/>
          <w:color w:val="auto"/>
          <w:sz w:val="32"/>
          <w:szCs w:val="32"/>
          <w:shd w:val="clear" w:color="auto" w:fill="auto"/>
          <w:lang w:val="en-US" w:eastAsia="zh-CN"/>
        </w:rPr>
        <w:t>附件</w:t>
      </w: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460" w:lineRule="exact"/>
        <w:ind w:right="0" w:rightChars="0"/>
        <w:jc w:val="center"/>
        <w:textAlignment w:val="auto"/>
        <w:outlineLvl w:val="9"/>
        <w:rPr>
          <w:rFonts w:hint="eastAsia" w:ascii="仿宋_GB2312" w:hAnsi="仿宋_GB2312" w:eastAsia="仿宋_GB2312" w:cs="仿宋_GB2312"/>
          <w:b/>
          <w:bCs/>
          <w:color w:val="auto"/>
          <w:sz w:val="32"/>
          <w:szCs w:val="32"/>
          <w:shd w:val="clear" w:color="auto" w:fill="auto"/>
          <w:lang w:val="en-US" w:eastAsia="zh-CN"/>
        </w:rPr>
      </w:pPr>
      <w:r>
        <w:rPr>
          <w:rFonts w:hint="eastAsia" w:ascii="仿宋_GB2312" w:hAnsi="仿宋_GB2312" w:eastAsia="仿宋_GB2312" w:cs="仿宋_GB2312"/>
          <w:b/>
          <w:bCs/>
          <w:color w:val="auto"/>
          <w:sz w:val="32"/>
          <w:szCs w:val="32"/>
          <w:shd w:val="clear" w:color="auto" w:fill="auto"/>
          <w:lang w:val="en-US" w:eastAsia="zh-CN"/>
        </w:rPr>
        <w:t>宁德职业技术学院信息公开清单事项</w:t>
      </w:r>
    </w:p>
    <w:tbl>
      <w:tblPr>
        <w:tblStyle w:val="6"/>
        <w:tblpPr w:leftFromText="180" w:rightFromText="180" w:vertAnchor="text" w:horzAnchor="page" w:tblpX="1125" w:tblpY="328"/>
        <w:tblOverlap w:val="never"/>
        <w:tblW w:w="0" w:type="auto"/>
        <w:tblInd w:w="0" w:type="dxa"/>
        <w:tblLayout w:type="fixed"/>
        <w:tblCellMar>
          <w:top w:w="0" w:type="dxa"/>
          <w:left w:w="0" w:type="dxa"/>
          <w:bottom w:w="0" w:type="dxa"/>
          <w:right w:w="0" w:type="dxa"/>
        </w:tblCellMar>
      </w:tblPr>
      <w:tblGrid>
        <w:gridCol w:w="785"/>
        <w:gridCol w:w="1489"/>
        <w:gridCol w:w="4737"/>
        <w:gridCol w:w="2732"/>
      </w:tblGrid>
      <w:tr>
        <w:tblPrEx>
          <w:tblCellMar>
            <w:top w:w="0" w:type="dxa"/>
            <w:left w:w="0" w:type="dxa"/>
            <w:bottom w:w="0" w:type="dxa"/>
            <w:right w:w="0" w:type="dxa"/>
          </w:tblCellMar>
        </w:tblPrEx>
        <w:trPr>
          <w:trHeight w:val="365" w:hRule="exact"/>
        </w:trPr>
        <w:tc>
          <w:tcPr>
            <w:tcW w:w="7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pacing w:val="1"/>
                <w:kern w:val="0"/>
                <w:sz w:val="21"/>
                <w:szCs w:val="21"/>
                <w:lang w:val="en-US" w:eastAsia="zh-CN" w:bidi="ar"/>
              </w:rPr>
            </w:pPr>
            <w:r>
              <w:rPr>
                <w:rFonts w:hint="eastAsia" w:ascii="仿宋_GB2312" w:hAnsi="仿宋_GB2312" w:eastAsia="仿宋_GB2312" w:cs="仿宋_GB2312"/>
                <w:color w:val="auto"/>
                <w:spacing w:val="1"/>
                <w:kern w:val="0"/>
                <w:sz w:val="21"/>
                <w:szCs w:val="21"/>
                <w:lang w:val="en-US" w:eastAsia="zh-CN" w:bidi="ar"/>
              </w:rPr>
              <w:t>序号</w:t>
            </w:r>
          </w:p>
        </w:tc>
        <w:tc>
          <w:tcPr>
            <w:tcW w:w="14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tabs>
                <w:tab w:val="left" w:pos="652"/>
              </w:tabs>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kern w:val="0"/>
                <w:sz w:val="21"/>
                <w:szCs w:val="21"/>
                <w:lang w:val="en-US" w:eastAsia="zh-CN" w:bidi="ar"/>
              </w:rPr>
            </w:pPr>
            <w:r>
              <w:rPr>
                <w:rFonts w:hint="eastAsia" w:ascii="仿宋_GB2312" w:hAnsi="仿宋_GB2312" w:eastAsia="仿宋_GB2312" w:cs="仿宋_GB2312"/>
                <w:color w:val="auto"/>
                <w:kern w:val="0"/>
                <w:sz w:val="21"/>
                <w:szCs w:val="21"/>
                <w:lang w:val="en-US" w:eastAsia="zh-CN" w:bidi="ar"/>
              </w:rPr>
              <w:t>类</w:t>
            </w:r>
            <w:r>
              <w:rPr>
                <w:rFonts w:hint="eastAsia" w:ascii="仿宋_GB2312" w:hAnsi="仿宋_GB2312" w:eastAsia="仿宋_GB2312" w:cs="仿宋_GB2312"/>
                <w:color w:val="auto"/>
                <w:kern w:val="0"/>
                <w:sz w:val="21"/>
                <w:szCs w:val="21"/>
                <w:lang w:val="en-US" w:eastAsia="zh-CN" w:bidi="ar"/>
              </w:rPr>
              <w:tab/>
            </w:r>
            <w:r>
              <w:rPr>
                <w:rFonts w:hint="eastAsia" w:ascii="仿宋_GB2312" w:hAnsi="仿宋_GB2312" w:eastAsia="仿宋_GB2312" w:cs="仿宋_GB2312"/>
                <w:color w:val="auto"/>
                <w:kern w:val="0"/>
                <w:sz w:val="21"/>
                <w:szCs w:val="21"/>
                <w:lang w:val="en-US" w:eastAsia="zh-CN" w:bidi="ar"/>
              </w:rPr>
              <w:t>别</w:t>
            </w: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right="0"/>
              <w:jc w:val="center"/>
              <w:textAlignment w:val="auto"/>
              <w:outlineLvl w:val="9"/>
              <w:rPr>
                <w:rFonts w:hint="eastAsia" w:ascii="仿宋_GB2312" w:hAnsi="仿宋_GB2312" w:eastAsia="仿宋_GB2312" w:cs="仿宋_GB2312"/>
                <w:color w:val="auto"/>
                <w:kern w:val="0"/>
                <w:sz w:val="21"/>
                <w:szCs w:val="21"/>
                <w:lang w:val="en-US" w:eastAsia="zh-CN" w:bidi="ar"/>
              </w:rPr>
            </w:pPr>
            <w:r>
              <w:rPr>
                <w:rFonts w:hint="eastAsia" w:ascii="仿宋_GB2312" w:hAnsi="仿宋_GB2312" w:eastAsia="仿宋_GB2312" w:cs="仿宋_GB2312"/>
                <w:color w:val="auto"/>
                <w:kern w:val="0"/>
                <w:sz w:val="21"/>
                <w:szCs w:val="21"/>
                <w:lang w:val="en-US" w:eastAsia="zh-CN" w:bidi="ar"/>
              </w:rPr>
              <w:t>公开事项</w:t>
            </w:r>
          </w:p>
        </w:tc>
        <w:tc>
          <w:tcPr>
            <w:tcW w:w="27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right="0"/>
              <w:jc w:val="center"/>
              <w:textAlignment w:val="auto"/>
              <w:outlineLvl w:val="9"/>
              <w:rPr>
                <w:rFonts w:hint="eastAsia" w:ascii="仿宋_GB2312" w:hAnsi="仿宋_GB2312" w:eastAsia="仿宋_GB2312" w:cs="仿宋_GB2312"/>
                <w:color w:val="auto"/>
                <w:kern w:val="0"/>
                <w:sz w:val="21"/>
                <w:szCs w:val="21"/>
                <w:lang w:val="en-US" w:eastAsia="zh-CN" w:bidi="ar"/>
              </w:rPr>
            </w:pPr>
            <w:r>
              <w:rPr>
                <w:rFonts w:hint="eastAsia" w:ascii="仿宋_GB2312" w:hAnsi="仿宋_GB2312" w:eastAsia="仿宋_GB2312" w:cs="仿宋_GB2312"/>
                <w:color w:val="auto"/>
                <w:kern w:val="0"/>
                <w:sz w:val="21"/>
                <w:szCs w:val="21"/>
                <w:lang w:val="en-US" w:eastAsia="zh-CN" w:bidi="ar"/>
              </w:rPr>
              <w:t>相关链接</w:t>
            </w:r>
          </w:p>
        </w:tc>
      </w:tr>
      <w:tr>
        <w:tblPrEx>
          <w:tblCellMar>
            <w:top w:w="0" w:type="dxa"/>
            <w:left w:w="0" w:type="dxa"/>
            <w:bottom w:w="0" w:type="dxa"/>
            <w:right w:w="0" w:type="dxa"/>
          </w:tblCellMar>
        </w:tblPrEx>
        <w:trPr>
          <w:trHeight w:val="1085" w:hRule="exact"/>
        </w:trPr>
        <w:tc>
          <w:tcPr>
            <w:tcW w:w="78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kern w:val="0"/>
                <w:sz w:val="21"/>
                <w:szCs w:val="21"/>
                <w:lang w:val="en-US" w:eastAsia="zh-CN" w:bidi="ar"/>
              </w:rPr>
              <w:t>1</w:t>
            </w:r>
          </w:p>
        </w:tc>
        <w:tc>
          <w:tcPr>
            <w:tcW w:w="148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kern w:val="0"/>
                <w:sz w:val="21"/>
                <w:szCs w:val="21"/>
                <w:lang w:val="en-US" w:eastAsia="zh-CN" w:bidi="ar"/>
              </w:rPr>
              <w:t>基本信息</w:t>
            </w:r>
          </w:p>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kern w:val="0"/>
                <w:sz w:val="21"/>
                <w:szCs w:val="21"/>
                <w:lang w:val="en-US" w:eastAsia="zh-CN" w:bidi="ar"/>
              </w:rPr>
              <w:t>（6项）</w:t>
            </w: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kern w:val="0"/>
                <w:sz w:val="21"/>
                <w:szCs w:val="21"/>
                <w:lang w:val="en-US" w:eastAsia="zh-CN" w:bidi="ar"/>
              </w:rPr>
              <w:t>（</w:t>
            </w:r>
            <w:r>
              <w:rPr>
                <w:rFonts w:hint="eastAsia" w:ascii="仿宋_GB2312" w:hAnsi="仿宋_GB2312" w:eastAsia="仿宋_GB2312" w:cs="仿宋_GB2312"/>
                <w:color w:val="auto"/>
                <w:spacing w:val="-1"/>
                <w:kern w:val="0"/>
                <w:sz w:val="21"/>
                <w:szCs w:val="21"/>
                <w:lang w:val="en-US" w:eastAsia="zh-CN" w:bidi="ar"/>
              </w:rPr>
              <w:t>1</w:t>
            </w:r>
            <w:r>
              <w:rPr>
                <w:rFonts w:hint="eastAsia" w:ascii="仿宋_GB2312" w:hAnsi="仿宋_GB2312" w:eastAsia="仿宋_GB2312" w:cs="仿宋_GB2312"/>
                <w:color w:val="auto"/>
                <w:kern w:val="0"/>
                <w:sz w:val="21"/>
                <w:szCs w:val="21"/>
                <w:lang w:val="en-US" w:eastAsia="zh-CN" w:bidi="ar"/>
              </w:rPr>
              <w:t>）办学</w:t>
            </w:r>
            <w:r>
              <w:rPr>
                <w:rFonts w:hint="eastAsia" w:ascii="仿宋_GB2312" w:hAnsi="仿宋_GB2312" w:eastAsia="仿宋_GB2312" w:cs="仿宋_GB2312"/>
                <w:color w:val="auto"/>
                <w:spacing w:val="-2"/>
                <w:kern w:val="0"/>
                <w:sz w:val="21"/>
                <w:szCs w:val="21"/>
                <w:lang w:val="en-US" w:eastAsia="zh-CN" w:bidi="ar"/>
              </w:rPr>
              <w:t>规</w:t>
            </w:r>
            <w:r>
              <w:rPr>
                <w:rFonts w:hint="eastAsia" w:ascii="仿宋_GB2312" w:hAnsi="仿宋_GB2312" w:eastAsia="仿宋_GB2312" w:cs="仿宋_GB2312"/>
                <w:color w:val="auto"/>
                <w:kern w:val="0"/>
                <w:sz w:val="21"/>
                <w:szCs w:val="21"/>
                <w:lang w:val="en-US" w:eastAsia="zh-CN" w:bidi="ar"/>
              </w:rPr>
              <w:t>模、校</w:t>
            </w:r>
            <w:r>
              <w:rPr>
                <w:rFonts w:hint="eastAsia" w:ascii="仿宋_GB2312" w:hAnsi="仿宋_GB2312" w:eastAsia="仿宋_GB2312" w:cs="仿宋_GB2312"/>
                <w:color w:val="auto"/>
                <w:spacing w:val="-2"/>
                <w:kern w:val="0"/>
                <w:sz w:val="21"/>
                <w:szCs w:val="21"/>
                <w:lang w:val="en-US" w:eastAsia="zh-CN" w:bidi="ar"/>
              </w:rPr>
              <w:t>级</w:t>
            </w:r>
            <w:r>
              <w:rPr>
                <w:rFonts w:hint="eastAsia" w:ascii="仿宋_GB2312" w:hAnsi="仿宋_GB2312" w:eastAsia="仿宋_GB2312" w:cs="仿宋_GB2312"/>
                <w:color w:val="auto"/>
                <w:kern w:val="0"/>
                <w:sz w:val="21"/>
                <w:szCs w:val="21"/>
                <w:lang w:val="en-US" w:eastAsia="zh-CN" w:bidi="ar"/>
              </w:rPr>
              <w:t>领</w:t>
            </w:r>
            <w:r>
              <w:rPr>
                <w:rFonts w:hint="eastAsia" w:ascii="仿宋_GB2312" w:hAnsi="仿宋_GB2312" w:eastAsia="仿宋_GB2312" w:cs="仿宋_GB2312"/>
                <w:color w:val="auto"/>
                <w:spacing w:val="-2"/>
                <w:kern w:val="0"/>
                <w:sz w:val="21"/>
                <w:szCs w:val="21"/>
                <w:lang w:val="en-US" w:eastAsia="zh-CN" w:bidi="ar"/>
              </w:rPr>
              <w:t>导</w:t>
            </w:r>
            <w:r>
              <w:rPr>
                <w:rFonts w:hint="eastAsia" w:ascii="仿宋_GB2312" w:hAnsi="仿宋_GB2312" w:eastAsia="仿宋_GB2312" w:cs="仿宋_GB2312"/>
                <w:color w:val="auto"/>
                <w:kern w:val="0"/>
                <w:sz w:val="21"/>
                <w:szCs w:val="21"/>
                <w:lang w:val="en-US" w:eastAsia="zh-CN" w:bidi="ar"/>
              </w:rPr>
              <w:t>班子简</w:t>
            </w:r>
            <w:r>
              <w:rPr>
                <w:rFonts w:hint="eastAsia" w:ascii="仿宋_GB2312" w:hAnsi="仿宋_GB2312" w:eastAsia="仿宋_GB2312" w:cs="仿宋_GB2312"/>
                <w:color w:val="auto"/>
                <w:spacing w:val="-2"/>
                <w:kern w:val="0"/>
                <w:sz w:val="21"/>
                <w:szCs w:val="21"/>
                <w:lang w:val="en-US" w:eastAsia="zh-CN" w:bidi="ar"/>
              </w:rPr>
              <w:t>介</w:t>
            </w:r>
            <w:r>
              <w:rPr>
                <w:rFonts w:hint="eastAsia" w:ascii="仿宋_GB2312" w:hAnsi="仿宋_GB2312" w:eastAsia="仿宋_GB2312" w:cs="仿宋_GB2312"/>
                <w:color w:val="auto"/>
                <w:kern w:val="0"/>
                <w:sz w:val="21"/>
                <w:szCs w:val="21"/>
                <w:lang w:val="en-US" w:eastAsia="zh-CN" w:bidi="ar"/>
              </w:rPr>
              <w:t>及</w:t>
            </w:r>
            <w:r>
              <w:rPr>
                <w:rFonts w:hint="eastAsia" w:ascii="仿宋_GB2312" w:hAnsi="仿宋_GB2312" w:eastAsia="仿宋_GB2312" w:cs="仿宋_GB2312"/>
                <w:color w:val="auto"/>
                <w:spacing w:val="-2"/>
                <w:kern w:val="0"/>
                <w:sz w:val="21"/>
                <w:szCs w:val="21"/>
                <w:lang w:val="en-US" w:eastAsia="zh-CN" w:bidi="ar"/>
              </w:rPr>
              <w:t>分</w:t>
            </w:r>
            <w:r>
              <w:rPr>
                <w:rFonts w:hint="eastAsia" w:ascii="仿宋_GB2312" w:hAnsi="仿宋_GB2312" w:eastAsia="仿宋_GB2312" w:cs="仿宋_GB2312"/>
                <w:color w:val="auto"/>
                <w:kern w:val="0"/>
                <w:sz w:val="21"/>
                <w:szCs w:val="21"/>
                <w:lang w:val="en-US" w:eastAsia="zh-CN" w:bidi="ar"/>
              </w:rPr>
              <w:t>工、学院机</w:t>
            </w:r>
            <w:r>
              <w:rPr>
                <w:rFonts w:hint="eastAsia" w:ascii="仿宋_GB2312" w:hAnsi="仿宋_GB2312" w:eastAsia="仿宋_GB2312" w:cs="仿宋_GB2312"/>
                <w:color w:val="auto"/>
                <w:spacing w:val="-2"/>
                <w:kern w:val="0"/>
                <w:sz w:val="21"/>
                <w:szCs w:val="21"/>
                <w:lang w:val="en-US" w:eastAsia="zh-CN" w:bidi="ar"/>
              </w:rPr>
              <w:t>构</w:t>
            </w:r>
            <w:r>
              <w:rPr>
                <w:rFonts w:hint="eastAsia" w:ascii="仿宋_GB2312" w:hAnsi="仿宋_GB2312" w:eastAsia="仿宋_GB2312" w:cs="仿宋_GB2312"/>
                <w:color w:val="auto"/>
                <w:kern w:val="0"/>
                <w:sz w:val="21"/>
                <w:szCs w:val="21"/>
                <w:lang w:val="en-US" w:eastAsia="zh-CN" w:bidi="ar"/>
              </w:rPr>
              <w:t>设置、学科情</w:t>
            </w:r>
            <w:r>
              <w:rPr>
                <w:rFonts w:hint="eastAsia" w:ascii="仿宋_GB2312" w:hAnsi="仿宋_GB2312" w:eastAsia="仿宋_GB2312" w:cs="仿宋_GB2312"/>
                <w:color w:val="auto"/>
                <w:spacing w:val="-2"/>
                <w:kern w:val="0"/>
                <w:sz w:val="21"/>
                <w:szCs w:val="21"/>
                <w:lang w:val="en-US" w:eastAsia="zh-CN" w:bidi="ar"/>
              </w:rPr>
              <w:t>况</w:t>
            </w:r>
            <w:r>
              <w:rPr>
                <w:rFonts w:hint="eastAsia" w:ascii="仿宋_GB2312" w:hAnsi="仿宋_GB2312" w:eastAsia="仿宋_GB2312" w:cs="仿宋_GB2312"/>
                <w:color w:val="auto"/>
                <w:kern w:val="0"/>
                <w:sz w:val="21"/>
                <w:szCs w:val="21"/>
                <w:lang w:val="en-US" w:eastAsia="zh-CN" w:bidi="ar"/>
              </w:rPr>
              <w:t>、</w:t>
            </w:r>
            <w:r>
              <w:rPr>
                <w:rFonts w:hint="eastAsia" w:ascii="仿宋_GB2312" w:hAnsi="仿宋_GB2312" w:eastAsia="仿宋_GB2312" w:cs="仿宋_GB2312"/>
                <w:color w:val="auto"/>
                <w:spacing w:val="-2"/>
                <w:kern w:val="0"/>
                <w:sz w:val="21"/>
                <w:szCs w:val="21"/>
                <w:lang w:val="en-US" w:eastAsia="zh-CN" w:bidi="ar"/>
              </w:rPr>
              <w:t>专</w:t>
            </w:r>
            <w:r>
              <w:rPr>
                <w:rFonts w:hint="eastAsia" w:ascii="仿宋_GB2312" w:hAnsi="仿宋_GB2312" w:eastAsia="仿宋_GB2312" w:cs="仿宋_GB2312"/>
                <w:color w:val="auto"/>
                <w:kern w:val="0"/>
                <w:sz w:val="21"/>
                <w:szCs w:val="21"/>
                <w:lang w:val="en-US" w:eastAsia="zh-CN" w:bidi="ar"/>
              </w:rPr>
              <w:t>业情况</w:t>
            </w:r>
            <w:r>
              <w:rPr>
                <w:rFonts w:hint="eastAsia" w:ascii="仿宋_GB2312" w:hAnsi="仿宋_GB2312" w:eastAsia="仿宋_GB2312" w:cs="仿宋_GB2312"/>
                <w:color w:val="auto"/>
                <w:spacing w:val="-2"/>
                <w:kern w:val="0"/>
                <w:sz w:val="21"/>
                <w:szCs w:val="21"/>
                <w:lang w:val="en-US" w:eastAsia="zh-CN" w:bidi="ar"/>
              </w:rPr>
              <w:t>、</w:t>
            </w:r>
            <w:r>
              <w:rPr>
                <w:rFonts w:hint="eastAsia" w:ascii="仿宋_GB2312" w:hAnsi="仿宋_GB2312" w:eastAsia="仿宋_GB2312" w:cs="仿宋_GB2312"/>
                <w:color w:val="auto"/>
                <w:kern w:val="0"/>
                <w:sz w:val="21"/>
                <w:szCs w:val="21"/>
                <w:lang w:val="en-US" w:eastAsia="zh-CN" w:bidi="ar"/>
              </w:rPr>
              <w:t>各</w:t>
            </w:r>
            <w:r>
              <w:rPr>
                <w:rFonts w:hint="eastAsia" w:ascii="仿宋_GB2312" w:hAnsi="仿宋_GB2312" w:eastAsia="仿宋_GB2312" w:cs="仿宋_GB2312"/>
                <w:color w:val="auto"/>
                <w:spacing w:val="-2"/>
                <w:kern w:val="0"/>
                <w:sz w:val="21"/>
                <w:szCs w:val="21"/>
                <w:lang w:val="en-US" w:eastAsia="zh-CN" w:bidi="ar"/>
              </w:rPr>
              <w:t>类</w:t>
            </w:r>
            <w:r>
              <w:rPr>
                <w:rFonts w:hint="eastAsia" w:ascii="仿宋_GB2312" w:hAnsi="仿宋_GB2312" w:eastAsia="仿宋_GB2312" w:cs="仿宋_GB2312"/>
                <w:color w:val="auto"/>
                <w:kern w:val="0"/>
                <w:sz w:val="21"/>
                <w:szCs w:val="21"/>
                <w:lang w:val="en-US" w:eastAsia="zh-CN" w:bidi="ar"/>
              </w:rPr>
              <w:t>在校生</w:t>
            </w:r>
            <w:r>
              <w:rPr>
                <w:rFonts w:hint="eastAsia" w:ascii="仿宋_GB2312" w:hAnsi="仿宋_GB2312" w:eastAsia="仿宋_GB2312" w:cs="仿宋_GB2312"/>
                <w:color w:val="auto"/>
                <w:spacing w:val="-2"/>
                <w:kern w:val="0"/>
                <w:sz w:val="21"/>
                <w:szCs w:val="21"/>
                <w:lang w:val="en-US" w:eastAsia="zh-CN" w:bidi="ar"/>
              </w:rPr>
              <w:t>情</w:t>
            </w:r>
            <w:r>
              <w:rPr>
                <w:rFonts w:hint="eastAsia" w:ascii="仿宋_GB2312" w:hAnsi="仿宋_GB2312" w:eastAsia="仿宋_GB2312" w:cs="仿宋_GB2312"/>
                <w:color w:val="auto"/>
                <w:kern w:val="0"/>
                <w:sz w:val="21"/>
                <w:szCs w:val="21"/>
                <w:lang w:val="en-US" w:eastAsia="zh-CN" w:bidi="ar"/>
              </w:rPr>
              <w:t>况</w:t>
            </w:r>
            <w:r>
              <w:rPr>
                <w:rFonts w:hint="eastAsia" w:ascii="仿宋_GB2312" w:hAnsi="仿宋_GB2312" w:eastAsia="仿宋_GB2312" w:cs="仿宋_GB2312"/>
                <w:color w:val="auto"/>
                <w:spacing w:val="-2"/>
                <w:kern w:val="0"/>
                <w:sz w:val="21"/>
                <w:szCs w:val="21"/>
                <w:lang w:val="en-US" w:eastAsia="zh-CN" w:bidi="ar"/>
              </w:rPr>
              <w:t>、</w:t>
            </w:r>
            <w:r>
              <w:rPr>
                <w:rFonts w:hint="eastAsia" w:ascii="仿宋_GB2312" w:hAnsi="仿宋_GB2312" w:eastAsia="仿宋_GB2312" w:cs="仿宋_GB2312"/>
                <w:color w:val="auto"/>
                <w:kern w:val="0"/>
                <w:sz w:val="21"/>
                <w:szCs w:val="21"/>
                <w:lang w:val="en-US" w:eastAsia="zh-CN" w:bidi="ar"/>
              </w:rPr>
              <w:t>教师和</w:t>
            </w:r>
            <w:r>
              <w:rPr>
                <w:rFonts w:hint="eastAsia" w:ascii="仿宋_GB2312" w:hAnsi="仿宋_GB2312" w:eastAsia="仿宋_GB2312" w:cs="仿宋_GB2312"/>
                <w:color w:val="auto"/>
                <w:spacing w:val="-2"/>
                <w:kern w:val="0"/>
                <w:sz w:val="21"/>
                <w:szCs w:val="21"/>
                <w:lang w:val="en-US" w:eastAsia="zh-CN" w:bidi="ar"/>
              </w:rPr>
              <w:t>专</w:t>
            </w:r>
            <w:r>
              <w:rPr>
                <w:rFonts w:hint="eastAsia" w:ascii="仿宋_GB2312" w:hAnsi="仿宋_GB2312" w:eastAsia="仿宋_GB2312" w:cs="仿宋_GB2312"/>
                <w:color w:val="auto"/>
                <w:kern w:val="0"/>
                <w:sz w:val="21"/>
                <w:szCs w:val="21"/>
                <w:lang w:val="en-US" w:eastAsia="zh-CN" w:bidi="ar"/>
              </w:rPr>
              <w:t>业</w:t>
            </w:r>
            <w:r>
              <w:rPr>
                <w:rFonts w:hint="eastAsia" w:ascii="仿宋_GB2312" w:hAnsi="仿宋_GB2312" w:eastAsia="仿宋_GB2312" w:cs="仿宋_GB2312"/>
                <w:color w:val="auto"/>
                <w:spacing w:val="-2"/>
                <w:kern w:val="0"/>
                <w:sz w:val="21"/>
                <w:szCs w:val="21"/>
                <w:lang w:val="en-US" w:eastAsia="zh-CN" w:bidi="ar"/>
              </w:rPr>
              <w:t>技</w:t>
            </w:r>
            <w:r>
              <w:rPr>
                <w:rFonts w:hint="eastAsia" w:ascii="仿宋_GB2312" w:hAnsi="仿宋_GB2312" w:eastAsia="仿宋_GB2312" w:cs="仿宋_GB2312"/>
                <w:color w:val="auto"/>
                <w:kern w:val="0"/>
                <w:sz w:val="21"/>
                <w:szCs w:val="21"/>
                <w:lang w:val="en-US" w:eastAsia="zh-CN" w:bidi="ar"/>
              </w:rPr>
              <w:t>术人员数量</w:t>
            </w:r>
            <w:r>
              <w:rPr>
                <w:rFonts w:hint="eastAsia" w:ascii="仿宋_GB2312" w:hAnsi="仿宋_GB2312" w:eastAsia="仿宋_GB2312" w:cs="仿宋_GB2312"/>
                <w:color w:val="auto"/>
                <w:spacing w:val="-2"/>
                <w:kern w:val="0"/>
                <w:sz w:val="21"/>
                <w:szCs w:val="21"/>
                <w:lang w:val="en-US" w:eastAsia="zh-CN" w:bidi="ar"/>
              </w:rPr>
              <w:t>等</w:t>
            </w:r>
            <w:r>
              <w:rPr>
                <w:rFonts w:hint="eastAsia" w:ascii="仿宋_GB2312" w:hAnsi="仿宋_GB2312" w:eastAsia="仿宋_GB2312" w:cs="仿宋_GB2312"/>
                <w:color w:val="auto"/>
                <w:kern w:val="0"/>
                <w:sz w:val="21"/>
                <w:szCs w:val="21"/>
                <w:lang w:val="en-US" w:eastAsia="zh-CN" w:bidi="ar"/>
              </w:rPr>
              <w:t>办</w:t>
            </w:r>
            <w:r>
              <w:rPr>
                <w:rFonts w:hint="eastAsia" w:ascii="仿宋_GB2312" w:hAnsi="仿宋_GB2312" w:eastAsia="仿宋_GB2312" w:cs="仿宋_GB2312"/>
                <w:color w:val="auto"/>
                <w:spacing w:val="-2"/>
                <w:kern w:val="0"/>
                <w:sz w:val="21"/>
                <w:szCs w:val="21"/>
                <w:lang w:val="en-US" w:eastAsia="zh-CN" w:bidi="ar"/>
              </w:rPr>
              <w:t>学</w:t>
            </w:r>
            <w:r>
              <w:rPr>
                <w:rFonts w:hint="eastAsia" w:ascii="仿宋_GB2312" w:hAnsi="仿宋_GB2312" w:eastAsia="仿宋_GB2312" w:cs="仿宋_GB2312"/>
                <w:color w:val="auto"/>
                <w:kern w:val="0"/>
                <w:sz w:val="21"/>
                <w:szCs w:val="21"/>
                <w:lang w:val="en-US" w:eastAsia="zh-CN" w:bidi="ar"/>
              </w:rPr>
              <w:t>基本情况</w:t>
            </w:r>
          </w:p>
        </w:tc>
        <w:tc>
          <w:tcPr>
            <w:tcW w:w="273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fldChar w:fldCharType="begin"/>
            </w:r>
            <w:r>
              <w:rPr>
                <w:rFonts w:hint="eastAsia" w:ascii="仿宋_GB2312" w:hAnsi="仿宋_GB2312" w:eastAsia="仿宋_GB2312" w:cs="仿宋_GB2312"/>
                <w:color w:val="auto"/>
                <w:sz w:val="21"/>
                <w:szCs w:val="21"/>
              </w:rPr>
              <w:instrText xml:space="preserve"> HYPERLINK "https://www.ndzy.cn/index/single/9" </w:instrText>
            </w:r>
            <w:r>
              <w:rPr>
                <w:rFonts w:hint="eastAsia" w:ascii="仿宋_GB2312" w:hAnsi="仿宋_GB2312" w:eastAsia="仿宋_GB2312" w:cs="仿宋_GB2312"/>
                <w:color w:val="auto"/>
                <w:sz w:val="21"/>
                <w:szCs w:val="21"/>
              </w:rPr>
              <w:fldChar w:fldCharType="separate"/>
            </w:r>
            <w:r>
              <w:rPr>
                <w:rStyle w:val="10"/>
                <w:rFonts w:hint="eastAsia" w:ascii="仿宋_GB2312" w:hAnsi="仿宋_GB2312" w:eastAsia="仿宋_GB2312" w:cs="仿宋_GB2312"/>
                <w:sz w:val="21"/>
                <w:szCs w:val="21"/>
              </w:rPr>
              <w:t>https://www.ndzy.cn/index/single/9</w:t>
            </w:r>
            <w:r>
              <w:rPr>
                <w:rFonts w:hint="eastAsia" w:ascii="仿宋_GB2312" w:hAnsi="仿宋_GB2312" w:eastAsia="仿宋_GB2312" w:cs="仿宋_GB2312"/>
                <w:color w:val="auto"/>
                <w:sz w:val="21"/>
                <w:szCs w:val="21"/>
              </w:rPr>
              <w:fldChar w:fldCharType="end"/>
            </w:r>
          </w:p>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https://www.ndzy.cn/index/list/576</w:t>
            </w:r>
          </w:p>
        </w:tc>
      </w:tr>
      <w:tr>
        <w:tblPrEx>
          <w:tblCellMar>
            <w:top w:w="0" w:type="dxa"/>
            <w:left w:w="0" w:type="dxa"/>
            <w:bottom w:w="0" w:type="dxa"/>
            <w:right w:w="0" w:type="dxa"/>
          </w:tblCellMar>
        </w:tblPrEx>
        <w:trPr>
          <w:trHeight w:val="445" w:hRule="exac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kern w:val="0"/>
                <w:sz w:val="21"/>
                <w:szCs w:val="21"/>
                <w:lang w:val="en-US" w:eastAsia="zh-CN" w:bidi="ar"/>
              </w:rPr>
              <w:t>（</w:t>
            </w:r>
            <w:r>
              <w:rPr>
                <w:rFonts w:hint="eastAsia" w:ascii="仿宋_GB2312" w:hAnsi="仿宋_GB2312" w:eastAsia="仿宋_GB2312" w:cs="仿宋_GB2312"/>
                <w:color w:val="auto"/>
                <w:spacing w:val="-1"/>
                <w:kern w:val="0"/>
                <w:sz w:val="21"/>
                <w:szCs w:val="21"/>
                <w:lang w:val="en-US" w:eastAsia="zh-CN" w:bidi="ar"/>
              </w:rPr>
              <w:t>2</w:t>
            </w:r>
            <w:r>
              <w:rPr>
                <w:rFonts w:hint="eastAsia" w:ascii="仿宋_GB2312" w:hAnsi="仿宋_GB2312" w:eastAsia="仿宋_GB2312" w:cs="仿宋_GB2312"/>
                <w:color w:val="auto"/>
                <w:kern w:val="0"/>
                <w:sz w:val="21"/>
                <w:szCs w:val="21"/>
                <w:lang w:val="en-US" w:eastAsia="zh-CN" w:bidi="ar"/>
              </w:rPr>
              <w:t>）学院</w:t>
            </w:r>
            <w:r>
              <w:rPr>
                <w:rFonts w:hint="eastAsia" w:ascii="仿宋_GB2312" w:hAnsi="仿宋_GB2312" w:eastAsia="仿宋_GB2312" w:cs="仿宋_GB2312"/>
                <w:color w:val="auto"/>
                <w:spacing w:val="-2"/>
                <w:kern w:val="0"/>
                <w:sz w:val="21"/>
                <w:szCs w:val="21"/>
                <w:lang w:val="en-US" w:eastAsia="zh-CN" w:bidi="ar"/>
              </w:rPr>
              <w:t>章</w:t>
            </w:r>
            <w:r>
              <w:rPr>
                <w:rFonts w:hint="eastAsia" w:ascii="仿宋_GB2312" w:hAnsi="仿宋_GB2312" w:eastAsia="仿宋_GB2312" w:cs="仿宋_GB2312"/>
                <w:color w:val="auto"/>
                <w:kern w:val="0"/>
                <w:sz w:val="21"/>
                <w:szCs w:val="21"/>
                <w:lang w:val="en-US" w:eastAsia="zh-CN" w:bidi="ar"/>
              </w:rPr>
              <w:t>程及制</w:t>
            </w:r>
            <w:r>
              <w:rPr>
                <w:rFonts w:hint="eastAsia" w:ascii="仿宋_GB2312" w:hAnsi="仿宋_GB2312" w:eastAsia="仿宋_GB2312" w:cs="仿宋_GB2312"/>
                <w:color w:val="auto"/>
                <w:spacing w:val="-2"/>
                <w:kern w:val="0"/>
                <w:sz w:val="21"/>
                <w:szCs w:val="21"/>
                <w:lang w:val="en-US" w:eastAsia="zh-CN" w:bidi="ar"/>
              </w:rPr>
              <w:t>定</w:t>
            </w:r>
            <w:r>
              <w:rPr>
                <w:rFonts w:hint="eastAsia" w:ascii="仿宋_GB2312" w:hAnsi="仿宋_GB2312" w:eastAsia="仿宋_GB2312" w:cs="仿宋_GB2312"/>
                <w:color w:val="auto"/>
                <w:kern w:val="0"/>
                <w:sz w:val="21"/>
                <w:szCs w:val="21"/>
                <w:lang w:val="en-US" w:eastAsia="zh-CN" w:bidi="ar"/>
              </w:rPr>
              <w:t>的</w:t>
            </w:r>
            <w:r>
              <w:rPr>
                <w:rFonts w:hint="eastAsia" w:ascii="仿宋_GB2312" w:hAnsi="仿宋_GB2312" w:eastAsia="仿宋_GB2312" w:cs="仿宋_GB2312"/>
                <w:color w:val="auto"/>
                <w:spacing w:val="-2"/>
                <w:kern w:val="0"/>
                <w:sz w:val="21"/>
                <w:szCs w:val="21"/>
                <w:lang w:val="en-US" w:eastAsia="zh-CN" w:bidi="ar"/>
              </w:rPr>
              <w:t>各</w:t>
            </w:r>
            <w:r>
              <w:rPr>
                <w:rFonts w:hint="eastAsia" w:ascii="仿宋_GB2312" w:hAnsi="仿宋_GB2312" w:eastAsia="仿宋_GB2312" w:cs="仿宋_GB2312"/>
                <w:color w:val="auto"/>
                <w:kern w:val="0"/>
                <w:sz w:val="21"/>
                <w:szCs w:val="21"/>
                <w:lang w:val="en-US" w:eastAsia="zh-CN" w:bidi="ar"/>
              </w:rPr>
              <w:t>项规章</w:t>
            </w:r>
            <w:r>
              <w:rPr>
                <w:rFonts w:hint="eastAsia" w:ascii="仿宋_GB2312" w:hAnsi="仿宋_GB2312" w:eastAsia="仿宋_GB2312" w:cs="仿宋_GB2312"/>
                <w:color w:val="auto"/>
                <w:spacing w:val="-2"/>
                <w:kern w:val="0"/>
                <w:sz w:val="21"/>
                <w:szCs w:val="21"/>
                <w:lang w:val="en-US" w:eastAsia="zh-CN" w:bidi="ar"/>
              </w:rPr>
              <w:t>制</w:t>
            </w:r>
            <w:r>
              <w:rPr>
                <w:rFonts w:hint="eastAsia" w:ascii="仿宋_GB2312" w:hAnsi="仿宋_GB2312" w:eastAsia="仿宋_GB2312" w:cs="仿宋_GB2312"/>
                <w:color w:val="auto"/>
                <w:kern w:val="0"/>
                <w:sz w:val="21"/>
                <w:szCs w:val="21"/>
                <w:lang w:val="en-US" w:eastAsia="zh-CN" w:bidi="ar"/>
              </w:rPr>
              <w:t>度</w:t>
            </w:r>
          </w:p>
        </w:tc>
        <w:tc>
          <w:tcPr>
            <w:tcW w:w="273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r>
      <w:tr>
        <w:tblPrEx>
          <w:tblCellMar>
            <w:top w:w="0" w:type="dxa"/>
            <w:left w:w="0" w:type="dxa"/>
            <w:bottom w:w="0" w:type="dxa"/>
            <w:right w:w="0" w:type="dxa"/>
          </w:tblCellMar>
        </w:tblPrEx>
        <w:trPr>
          <w:trHeight w:val="457" w:hRule="atLeas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kern w:val="0"/>
                <w:sz w:val="21"/>
                <w:szCs w:val="21"/>
                <w:lang w:val="en-US" w:eastAsia="zh-CN" w:bidi="ar"/>
              </w:rPr>
              <w:t>（</w:t>
            </w:r>
            <w:r>
              <w:rPr>
                <w:rFonts w:hint="eastAsia" w:ascii="仿宋_GB2312" w:hAnsi="仿宋_GB2312" w:eastAsia="仿宋_GB2312" w:cs="仿宋_GB2312"/>
                <w:color w:val="auto"/>
                <w:spacing w:val="-1"/>
                <w:kern w:val="0"/>
                <w:sz w:val="21"/>
                <w:szCs w:val="21"/>
                <w:lang w:val="en-US" w:eastAsia="zh-CN" w:bidi="ar"/>
              </w:rPr>
              <w:t>3</w:t>
            </w:r>
            <w:r>
              <w:rPr>
                <w:rFonts w:hint="eastAsia" w:ascii="仿宋_GB2312" w:hAnsi="仿宋_GB2312" w:eastAsia="仿宋_GB2312" w:cs="仿宋_GB2312"/>
                <w:color w:val="auto"/>
                <w:kern w:val="0"/>
                <w:sz w:val="21"/>
                <w:szCs w:val="21"/>
                <w:lang w:val="en-US" w:eastAsia="zh-CN" w:bidi="ar"/>
              </w:rPr>
              <w:t>）教职</w:t>
            </w:r>
            <w:r>
              <w:rPr>
                <w:rFonts w:hint="eastAsia" w:ascii="仿宋_GB2312" w:hAnsi="仿宋_GB2312" w:eastAsia="仿宋_GB2312" w:cs="仿宋_GB2312"/>
                <w:color w:val="auto"/>
                <w:spacing w:val="-2"/>
                <w:kern w:val="0"/>
                <w:sz w:val="21"/>
                <w:szCs w:val="21"/>
                <w:lang w:val="en-US" w:eastAsia="zh-CN" w:bidi="ar"/>
              </w:rPr>
              <w:t>工</w:t>
            </w:r>
            <w:r>
              <w:rPr>
                <w:rFonts w:hint="eastAsia" w:ascii="仿宋_GB2312" w:hAnsi="仿宋_GB2312" w:eastAsia="仿宋_GB2312" w:cs="仿宋_GB2312"/>
                <w:color w:val="auto"/>
                <w:kern w:val="0"/>
                <w:sz w:val="21"/>
                <w:szCs w:val="21"/>
                <w:lang w:val="en-US" w:eastAsia="zh-CN" w:bidi="ar"/>
              </w:rPr>
              <w:t>代表大</w:t>
            </w:r>
            <w:r>
              <w:rPr>
                <w:rFonts w:hint="eastAsia" w:ascii="仿宋_GB2312" w:hAnsi="仿宋_GB2312" w:eastAsia="仿宋_GB2312" w:cs="仿宋_GB2312"/>
                <w:color w:val="auto"/>
                <w:spacing w:val="-2"/>
                <w:kern w:val="0"/>
                <w:sz w:val="21"/>
                <w:szCs w:val="21"/>
                <w:lang w:val="en-US" w:eastAsia="zh-CN" w:bidi="ar"/>
              </w:rPr>
              <w:t>会</w:t>
            </w:r>
            <w:r>
              <w:rPr>
                <w:rFonts w:hint="eastAsia" w:ascii="仿宋_GB2312" w:hAnsi="仿宋_GB2312" w:eastAsia="仿宋_GB2312" w:cs="仿宋_GB2312"/>
                <w:color w:val="auto"/>
                <w:kern w:val="0"/>
                <w:sz w:val="21"/>
                <w:szCs w:val="21"/>
                <w:lang w:val="en-US" w:eastAsia="zh-CN" w:bidi="ar"/>
              </w:rPr>
              <w:t>相</w:t>
            </w:r>
            <w:r>
              <w:rPr>
                <w:rFonts w:hint="eastAsia" w:ascii="仿宋_GB2312" w:hAnsi="仿宋_GB2312" w:eastAsia="仿宋_GB2312" w:cs="仿宋_GB2312"/>
                <w:color w:val="auto"/>
                <w:spacing w:val="-2"/>
                <w:kern w:val="0"/>
                <w:sz w:val="21"/>
                <w:szCs w:val="21"/>
                <w:lang w:val="en-US" w:eastAsia="zh-CN" w:bidi="ar"/>
              </w:rPr>
              <w:t>关</w:t>
            </w:r>
            <w:r>
              <w:rPr>
                <w:rFonts w:hint="eastAsia" w:ascii="仿宋_GB2312" w:hAnsi="仿宋_GB2312" w:eastAsia="仿宋_GB2312" w:cs="仿宋_GB2312"/>
                <w:color w:val="auto"/>
                <w:kern w:val="0"/>
                <w:sz w:val="21"/>
                <w:szCs w:val="21"/>
                <w:lang w:val="en-US" w:eastAsia="zh-CN" w:bidi="ar"/>
              </w:rPr>
              <w:t>制度、</w:t>
            </w:r>
            <w:r>
              <w:rPr>
                <w:rFonts w:hint="eastAsia" w:ascii="仿宋_GB2312" w:hAnsi="仿宋_GB2312" w:eastAsia="仿宋_GB2312" w:cs="仿宋_GB2312"/>
                <w:color w:val="auto"/>
                <w:spacing w:val="-2"/>
                <w:kern w:val="0"/>
                <w:sz w:val="21"/>
                <w:szCs w:val="21"/>
                <w:lang w:val="en-US" w:eastAsia="zh-CN" w:bidi="ar"/>
              </w:rPr>
              <w:t>工</w:t>
            </w:r>
            <w:r>
              <w:rPr>
                <w:rFonts w:hint="eastAsia" w:ascii="仿宋_GB2312" w:hAnsi="仿宋_GB2312" w:eastAsia="仿宋_GB2312" w:cs="仿宋_GB2312"/>
                <w:color w:val="auto"/>
                <w:kern w:val="0"/>
                <w:sz w:val="21"/>
                <w:szCs w:val="21"/>
                <w:lang w:val="en-US" w:eastAsia="zh-CN" w:bidi="ar"/>
              </w:rPr>
              <w:t>作</w:t>
            </w:r>
            <w:r>
              <w:rPr>
                <w:rFonts w:hint="eastAsia" w:ascii="仿宋_GB2312" w:hAnsi="仿宋_GB2312" w:eastAsia="仿宋_GB2312" w:cs="仿宋_GB2312"/>
                <w:color w:val="auto"/>
                <w:spacing w:val="-2"/>
                <w:kern w:val="0"/>
                <w:sz w:val="21"/>
                <w:szCs w:val="21"/>
                <w:lang w:val="en-US" w:eastAsia="zh-CN" w:bidi="ar"/>
              </w:rPr>
              <w:t>报</w:t>
            </w:r>
            <w:r>
              <w:rPr>
                <w:rFonts w:hint="eastAsia" w:ascii="仿宋_GB2312" w:hAnsi="仿宋_GB2312" w:eastAsia="仿宋_GB2312" w:cs="仿宋_GB2312"/>
                <w:color w:val="auto"/>
                <w:kern w:val="0"/>
                <w:sz w:val="21"/>
                <w:szCs w:val="21"/>
                <w:lang w:val="en-US" w:eastAsia="zh-CN" w:bidi="ar"/>
              </w:rPr>
              <w:t>告</w:t>
            </w:r>
          </w:p>
        </w:tc>
        <w:tc>
          <w:tcPr>
            <w:tcW w:w="27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https://www.ndzy.cn/gh</w:t>
            </w:r>
          </w:p>
        </w:tc>
      </w:tr>
      <w:tr>
        <w:tblPrEx>
          <w:tblCellMar>
            <w:top w:w="0" w:type="dxa"/>
            <w:left w:w="0" w:type="dxa"/>
            <w:bottom w:w="0" w:type="dxa"/>
            <w:right w:w="0" w:type="dxa"/>
          </w:tblCellMar>
        </w:tblPrEx>
        <w:trPr>
          <w:trHeight w:val="675" w:hRule="exac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（4）学术委员会相关制度、年度报告</w:t>
            </w:r>
          </w:p>
        </w:tc>
        <w:tc>
          <w:tcPr>
            <w:tcW w:w="27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https://www.ndzy.cn/kjc</w:t>
            </w:r>
          </w:p>
        </w:tc>
      </w:tr>
      <w:tr>
        <w:tblPrEx>
          <w:tblCellMar>
            <w:top w:w="0" w:type="dxa"/>
            <w:left w:w="0" w:type="dxa"/>
            <w:bottom w:w="0" w:type="dxa"/>
            <w:right w:w="0" w:type="dxa"/>
          </w:tblCellMar>
        </w:tblPrEx>
        <w:trPr>
          <w:trHeight w:val="465" w:hRule="exac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（5）学院发展规划、年度工作计划及重点工作安排</w:t>
            </w:r>
          </w:p>
        </w:tc>
        <w:tc>
          <w:tcPr>
            <w:tcW w:w="27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https://www.ndzy.cn/bgs/list/44</w:t>
            </w:r>
          </w:p>
        </w:tc>
      </w:tr>
      <w:tr>
        <w:tblPrEx>
          <w:tblCellMar>
            <w:top w:w="0" w:type="dxa"/>
            <w:left w:w="0" w:type="dxa"/>
            <w:bottom w:w="0" w:type="dxa"/>
            <w:right w:w="0" w:type="dxa"/>
          </w:tblCellMar>
        </w:tblPrEx>
        <w:trPr>
          <w:trHeight w:val="457" w:hRule="atLeas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（6）信息公开年度报告</w:t>
            </w:r>
          </w:p>
        </w:tc>
        <w:tc>
          <w:tcPr>
            <w:tcW w:w="2732"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https://www.ndzy.cn/bgs</w:t>
            </w:r>
          </w:p>
        </w:tc>
      </w:tr>
      <w:tr>
        <w:tblPrEx>
          <w:tblCellMar>
            <w:top w:w="0" w:type="dxa"/>
            <w:left w:w="0" w:type="dxa"/>
            <w:bottom w:w="0" w:type="dxa"/>
            <w:right w:w="0" w:type="dxa"/>
          </w:tblCellMar>
        </w:tblPrEx>
        <w:trPr>
          <w:trHeight w:val="704" w:hRule="atLeast"/>
        </w:trPr>
        <w:tc>
          <w:tcPr>
            <w:tcW w:w="78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2</w:t>
            </w:r>
          </w:p>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p>
        </w:tc>
        <w:tc>
          <w:tcPr>
            <w:tcW w:w="148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招生考试信息</w:t>
            </w:r>
          </w:p>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（8项）</w:t>
            </w:r>
          </w:p>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numPr>
                <w:ilvl w:val="0"/>
                <w:numId w:val="1"/>
              </w:numPr>
              <w:suppressLineNumbers w:val="0"/>
              <w:kinsoku w:val="0"/>
              <w:wordWrap/>
              <w:overflowPunct w:val="0"/>
              <w:topLinePunct w:val="0"/>
              <w:autoSpaceDE/>
              <w:autoSpaceDN/>
              <w:bidi w:val="0"/>
              <w:snapToGrid/>
              <w:spacing w:before="0" w:beforeAutospacing="0" w:after="0" w:afterAutospacing="0" w:line="240" w:lineRule="auto"/>
              <w:ind w:left="720" w:right="0" w:hanging="720"/>
              <w:jc w:val="left"/>
              <w:textAlignment w:val="auto"/>
              <w:outlineLvl w:val="9"/>
              <w:rPr>
                <w:rFonts w:hint="eastAsia" w:ascii="仿宋_GB2312" w:hAnsi="仿宋_GB2312" w:eastAsia="仿宋_GB2312" w:cs="仿宋_GB2312"/>
                <w:color w:val="auto"/>
                <w:spacing w:val="-2"/>
                <w:kern w:val="0"/>
                <w:sz w:val="21"/>
                <w:szCs w:val="21"/>
                <w:lang w:val="en-US" w:eastAsia="zh-CN" w:bidi="ar"/>
              </w:rPr>
            </w:pPr>
            <w:r>
              <w:rPr>
                <w:rFonts w:hint="eastAsia" w:ascii="仿宋_GB2312" w:hAnsi="仿宋_GB2312" w:eastAsia="仿宋_GB2312" w:cs="仿宋_GB2312"/>
                <w:color w:val="auto"/>
                <w:spacing w:val="-2"/>
                <w:kern w:val="0"/>
                <w:sz w:val="21"/>
                <w:szCs w:val="21"/>
                <w:lang w:val="en-US" w:eastAsia="zh-CN" w:bidi="ar"/>
              </w:rPr>
              <w:t>招生章程及特殊类型招生办法，</w:t>
            </w:r>
          </w:p>
          <w:p>
            <w:pPr>
              <w:keepNext w:val="0"/>
              <w:keepLines w:val="0"/>
              <w:pageBreakBefore w:val="0"/>
              <w:widowControl w:val="0"/>
              <w:numPr>
                <w:ilvl w:val="0"/>
                <w:numId w:val="0"/>
              </w:numPr>
              <w:suppressLineNumbers w:val="0"/>
              <w:kinsoku w:val="0"/>
              <w:wordWrap/>
              <w:overflowPunct w:val="0"/>
              <w:topLinePunct w:val="0"/>
              <w:autoSpaceDE/>
              <w:autoSpaceDN/>
              <w:bidi w:val="0"/>
              <w:snapToGrid/>
              <w:spacing w:before="0" w:beforeAutospacing="0" w:after="0" w:afterAutospacing="0" w:line="240" w:lineRule="auto"/>
              <w:ind w:leftChars="0" w:right="0" w:rightChars="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分批次、分科类招生计划</w:t>
            </w:r>
          </w:p>
        </w:tc>
        <w:tc>
          <w:tcPr>
            <w:tcW w:w="27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https://www.ndzy.cn/zsw</w:t>
            </w:r>
          </w:p>
        </w:tc>
      </w:tr>
      <w:tr>
        <w:tblPrEx>
          <w:tblCellMar>
            <w:top w:w="0" w:type="dxa"/>
            <w:left w:w="0" w:type="dxa"/>
            <w:bottom w:w="0" w:type="dxa"/>
            <w:right w:w="0" w:type="dxa"/>
          </w:tblCellMar>
        </w:tblPrEx>
        <w:trPr>
          <w:trHeight w:val="576" w:hRule="exac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（8）保送、自主选拔录取、高水平运动员和艺术特长生招生等特殊类型招生入选考生资格及测试结果</w:t>
            </w:r>
          </w:p>
        </w:tc>
        <w:tc>
          <w:tcPr>
            <w:tcW w:w="2732"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无此类招生</w:t>
            </w:r>
          </w:p>
        </w:tc>
      </w:tr>
      <w:tr>
        <w:tblPrEx>
          <w:tblCellMar>
            <w:top w:w="0" w:type="dxa"/>
            <w:left w:w="0" w:type="dxa"/>
            <w:bottom w:w="0" w:type="dxa"/>
            <w:right w:w="0" w:type="dxa"/>
          </w:tblCellMar>
        </w:tblPrEx>
        <w:trPr>
          <w:trHeight w:val="665" w:hRule="exac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（9）考生个人录取信息查询渠道和办法，分批次、分科类录 取人数和录取最低分</w:t>
            </w:r>
          </w:p>
        </w:tc>
        <w:tc>
          <w:tcPr>
            <w:tcW w:w="2732"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wordWrap/>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https://www.ndzy.cn/zsw</w:t>
            </w:r>
          </w:p>
        </w:tc>
      </w:tr>
      <w:tr>
        <w:tblPrEx>
          <w:tblCellMar>
            <w:top w:w="0" w:type="dxa"/>
            <w:left w:w="0" w:type="dxa"/>
            <w:bottom w:w="0" w:type="dxa"/>
            <w:right w:w="0" w:type="dxa"/>
          </w:tblCellMar>
        </w:tblPrEx>
        <w:trPr>
          <w:trHeight w:val="698" w:hRule="exac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（10）招生咨询及考生申诉渠道，新生复查期间有关举报、 调查及处理结果</w:t>
            </w:r>
          </w:p>
        </w:tc>
        <w:tc>
          <w:tcPr>
            <w:tcW w:w="2732"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wordWrap/>
              <w:topLinePunct w:val="0"/>
              <w:autoSpaceDE/>
              <w:autoSpaceDN/>
              <w:bidi w:val="0"/>
              <w:adjustRightInd/>
              <w:spacing w:before="0" w:beforeAutospacing="0" w:after="0" w:afterAutospacing="0" w:line="240" w:lineRule="auto"/>
              <w:ind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https://www.ndzy.cn/zsw</w:t>
            </w:r>
          </w:p>
        </w:tc>
      </w:tr>
      <w:tr>
        <w:tblPrEx>
          <w:tblCellMar>
            <w:top w:w="0" w:type="dxa"/>
            <w:left w:w="0" w:type="dxa"/>
            <w:bottom w:w="0" w:type="dxa"/>
            <w:right w:w="0" w:type="dxa"/>
          </w:tblCellMar>
        </w:tblPrEx>
        <w:trPr>
          <w:trHeight w:val="628" w:hRule="exac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adjustRightInd/>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（11）研究生招生简章、招生专业目录、复试录取办法，各 院（系、所）或学科、专业招收研究生人数</w:t>
            </w:r>
          </w:p>
        </w:tc>
        <w:tc>
          <w:tcPr>
            <w:tcW w:w="2732" w:type="dxa"/>
            <w:vMerge w:val="restart"/>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wordWrap/>
              <w:topLinePunct w:val="0"/>
              <w:autoSpaceDE/>
              <w:autoSpaceDN/>
              <w:bidi w:val="0"/>
              <w:adjustRightIn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无此类招生</w:t>
            </w:r>
          </w:p>
        </w:tc>
      </w:tr>
      <w:tr>
        <w:tblPrEx>
          <w:tblCellMar>
            <w:top w:w="0" w:type="dxa"/>
            <w:left w:w="0" w:type="dxa"/>
            <w:bottom w:w="0" w:type="dxa"/>
            <w:right w:w="0" w:type="dxa"/>
          </w:tblCellMar>
        </w:tblPrEx>
        <w:trPr>
          <w:trHeight w:val="432" w:hRule="exac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（12）参加研究生复试的考生成绩</w:t>
            </w:r>
          </w:p>
        </w:tc>
        <w:tc>
          <w:tcPr>
            <w:tcW w:w="2732"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r>
      <w:tr>
        <w:tblPrEx>
          <w:tblCellMar>
            <w:top w:w="0" w:type="dxa"/>
            <w:left w:w="0" w:type="dxa"/>
            <w:bottom w:w="0" w:type="dxa"/>
            <w:right w:w="0" w:type="dxa"/>
          </w:tblCellMar>
        </w:tblPrEx>
        <w:trPr>
          <w:trHeight w:val="409" w:hRule="exac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（13）拟录取研究生名单</w:t>
            </w:r>
          </w:p>
        </w:tc>
        <w:tc>
          <w:tcPr>
            <w:tcW w:w="2732"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r>
      <w:tr>
        <w:tblPrEx>
          <w:tblCellMar>
            <w:top w:w="0" w:type="dxa"/>
            <w:left w:w="0" w:type="dxa"/>
            <w:bottom w:w="0" w:type="dxa"/>
            <w:right w:w="0" w:type="dxa"/>
          </w:tblCellMar>
        </w:tblPrEx>
        <w:trPr>
          <w:trHeight w:val="90" w:hRule="exac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（14）研究生招生咨询及申诉渠道</w:t>
            </w:r>
          </w:p>
        </w:tc>
        <w:tc>
          <w:tcPr>
            <w:tcW w:w="2732" w:type="dxa"/>
            <w:vMerge w:val="continue"/>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r>
      <w:tr>
        <w:tblPrEx>
          <w:tblCellMar>
            <w:top w:w="0" w:type="dxa"/>
            <w:left w:w="0" w:type="dxa"/>
            <w:bottom w:w="0" w:type="dxa"/>
            <w:right w:w="0" w:type="dxa"/>
          </w:tblCellMar>
        </w:tblPrEx>
        <w:trPr>
          <w:trHeight w:val="394" w:hRule="exact"/>
        </w:trPr>
        <w:tc>
          <w:tcPr>
            <w:tcW w:w="78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3</w:t>
            </w:r>
          </w:p>
        </w:tc>
        <w:tc>
          <w:tcPr>
            <w:tcW w:w="148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财务、资 产及收费 信息</w:t>
            </w:r>
          </w:p>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（7项）</w:t>
            </w: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（15）财务、资产管理制度</w:t>
            </w:r>
          </w:p>
        </w:tc>
        <w:tc>
          <w:tcPr>
            <w:tcW w:w="2732"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pacing w:before="0" w:beforeAutospacing="0" w:after="0" w:afterAutospacing="0" w:line="240" w:lineRule="auto"/>
              <w:ind w:right="0"/>
              <w:jc w:val="center"/>
              <w:textAlignment w:val="auto"/>
              <w:outlineLvl w:val="9"/>
              <w:rPr>
                <w:rFonts w:hint="eastAsia" w:ascii="仿宋_GB2312" w:hAnsi="仿宋_GB2312" w:eastAsia="仿宋_GB2312" w:cs="仿宋_GB2312"/>
                <w:color w:val="auto"/>
                <w:sz w:val="21"/>
                <w:szCs w:val="21"/>
              </w:rPr>
            </w:pPr>
            <w:r>
              <w:rPr>
                <w:rFonts w:ascii="仿宋_GB2312" w:hAnsi="仿宋_GB2312" w:eastAsia="仿宋_GB2312" w:cs="仿宋_GB2312"/>
                <w:szCs w:val="21"/>
              </w:rPr>
              <w:t>https://www.ndzy.cn/cwk/list/226</w:t>
            </w:r>
          </w:p>
        </w:tc>
      </w:tr>
      <w:tr>
        <w:tblPrEx>
          <w:tblCellMar>
            <w:top w:w="0" w:type="dxa"/>
            <w:left w:w="0" w:type="dxa"/>
            <w:bottom w:w="0" w:type="dxa"/>
            <w:right w:w="0" w:type="dxa"/>
          </w:tblCellMar>
        </w:tblPrEx>
        <w:trPr>
          <w:trHeight w:val="387" w:hRule="exac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（16）受捐赠财产的使用与管理情况</w:t>
            </w:r>
          </w:p>
        </w:tc>
        <w:tc>
          <w:tcPr>
            <w:tcW w:w="2732" w:type="dxa"/>
            <w:vMerge w:val="continue"/>
            <w:tcBorders>
              <w:left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r>
      <w:tr>
        <w:tblPrEx>
          <w:tblCellMar>
            <w:top w:w="0" w:type="dxa"/>
            <w:left w:w="0" w:type="dxa"/>
            <w:bottom w:w="0" w:type="dxa"/>
            <w:right w:w="0" w:type="dxa"/>
          </w:tblCellMar>
        </w:tblPrEx>
        <w:trPr>
          <w:trHeight w:val="624" w:hRule="exac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（17）校办企业资产、负债、国有资产保值增值等信息</w:t>
            </w:r>
          </w:p>
        </w:tc>
        <w:tc>
          <w:tcPr>
            <w:tcW w:w="2732"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pacing w:before="0" w:beforeAutospacing="0" w:after="0" w:afterAutospacing="0" w:line="240" w:lineRule="auto"/>
              <w:ind w:right="0"/>
              <w:jc w:val="center"/>
              <w:textAlignment w:val="auto"/>
              <w:outlineLvl w:val="9"/>
              <w:rPr>
                <w:rFonts w:hint="eastAsia" w:ascii="仿宋_GB2312" w:hAnsi="仿宋_GB2312" w:eastAsia="仿宋_GB2312" w:cs="仿宋_GB2312"/>
                <w:color w:val="auto"/>
                <w:sz w:val="21"/>
                <w:szCs w:val="21"/>
              </w:rPr>
            </w:pPr>
          </w:p>
        </w:tc>
      </w:tr>
      <w:tr>
        <w:tblPrEx>
          <w:tblCellMar>
            <w:top w:w="0" w:type="dxa"/>
            <w:left w:w="0" w:type="dxa"/>
            <w:bottom w:w="0" w:type="dxa"/>
            <w:right w:w="0" w:type="dxa"/>
          </w:tblCellMar>
        </w:tblPrEx>
        <w:trPr>
          <w:trHeight w:val="664" w:hRule="atLeas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（18）仪器设备、图书、药品等物资设备采购和重大基建工程的招投标</w:t>
            </w:r>
          </w:p>
        </w:tc>
        <w:tc>
          <w:tcPr>
            <w:tcW w:w="27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https://www.ndzy.cn/hqgl</w:t>
            </w:r>
          </w:p>
        </w:tc>
      </w:tr>
      <w:tr>
        <w:tblPrEx>
          <w:tblCellMar>
            <w:top w:w="0" w:type="dxa"/>
            <w:left w:w="0" w:type="dxa"/>
            <w:bottom w:w="0" w:type="dxa"/>
            <w:right w:w="0" w:type="dxa"/>
          </w:tblCellMar>
        </w:tblPrEx>
        <w:trPr>
          <w:trHeight w:val="816" w:hRule="exac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（19）收支预算总表、收入预算表、支出预算表、财政拨款 支出预算表</w:t>
            </w:r>
          </w:p>
        </w:tc>
        <w:tc>
          <w:tcPr>
            <w:tcW w:w="2732"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pacing w:before="0" w:beforeAutospacing="0" w:after="0" w:afterAutospacing="0" w:line="240" w:lineRule="auto"/>
              <w:ind w:right="0"/>
              <w:jc w:val="both"/>
              <w:textAlignment w:val="auto"/>
              <w:outlineLvl w:val="9"/>
              <w:rPr>
                <w:rFonts w:ascii="仿宋_GB2312" w:hAnsi="仿宋_GB2312" w:eastAsia="仿宋_GB2312" w:cs="仿宋_GB2312"/>
                <w:szCs w:val="21"/>
              </w:rPr>
            </w:pPr>
            <w:r>
              <w:rPr>
                <w:rFonts w:ascii="仿宋_GB2312" w:hAnsi="仿宋_GB2312" w:eastAsia="仿宋_GB2312" w:cs="仿宋_GB2312"/>
                <w:szCs w:val="21"/>
              </w:rPr>
              <w:fldChar w:fldCharType="begin"/>
            </w:r>
            <w:r>
              <w:rPr>
                <w:rFonts w:ascii="仿宋_GB2312" w:hAnsi="仿宋_GB2312" w:eastAsia="仿宋_GB2312" w:cs="仿宋_GB2312"/>
                <w:szCs w:val="21"/>
              </w:rPr>
              <w:instrText xml:space="preserve"> HYPERLINK "https://www.ndzy.cn/cwk/list/459" </w:instrText>
            </w:r>
            <w:r>
              <w:rPr>
                <w:rFonts w:ascii="仿宋_GB2312" w:hAnsi="仿宋_GB2312" w:eastAsia="仿宋_GB2312" w:cs="仿宋_GB2312"/>
                <w:szCs w:val="21"/>
              </w:rPr>
              <w:fldChar w:fldCharType="separate"/>
            </w:r>
            <w:r>
              <w:rPr>
                <w:rStyle w:val="10"/>
                <w:rFonts w:ascii="仿宋_GB2312" w:hAnsi="仿宋_GB2312" w:eastAsia="仿宋_GB2312" w:cs="仿宋_GB2312"/>
                <w:szCs w:val="21"/>
              </w:rPr>
              <w:t>https://www.ndzy.cn/cwk/list/459</w:t>
            </w:r>
            <w:r>
              <w:rPr>
                <w:rFonts w:ascii="仿宋_GB2312" w:hAnsi="仿宋_GB2312" w:eastAsia="仿宋_GB2312" w:cs="仿宋_GB2312"/>
                <w:szCs w:val="21"/>
              </w:rPr>
              <w:fldChar w:fldCharType="end"/>
            </w:r>
          </w:p>
          <w:p>
            <w:pPr>
              <w:keepNext w:val="0"/>
              <w:keepLines w:val="0"/>
              <w:pageBreakBefore w:val="0"/>
              <w:widowControl w:val="0"/>
              <w:suppressLineNumbers w:val="0"/>
              <w:kinsoku w:val="0"/>
              <w:wordWrap/>
              <w:overflowPunct w:val="0"/>
              <w:topLinePunct w:val="0"/>
              <w:autoSpaceDE/>
              <w:autoSpaceDN/>
              <w:bidi w:val="0"/>
              <w:spacing w:before="0" w:beforeAutospacing="0" w:after="0" w:afterAutospacing="0" w:line="240" w:lineRule="auto"/>
              <w:ind w:right="0"/>
              <w:jc w:val="both"/>
              <w:textAlignment w:val="auto"/>
              <w:outlineLvl w:val="9"/>
              <w:rPr>
                <w:rFonts w:hint="eastAsia" w:ascii="仿宋_GB2312" w:hAnsi="仿宋_GB2312" w:eastAsia="仿宋_GB2312" w:cs="仿宋_GB2312"/>
                <w:color w:val="auto"/>
                <w:sz w:val="21"/>
                <w:szCs w:val="21"/>
              </w:rPr>
            </w:pPr>
            <w:r>
              <w:rPr>
                <w:rFonts w:ascii="仿宋_GB2312" w:hAnsi="仿宋_GB2312" w:eastAsia="仿宋_GB2312" w:cs="仿宋_GB2312"/>
                <w:szCs w:val="21"/>
              </w:rPr>
              <w:t>https://www.ndzy.cn/cwk/list/459</w:t>
            </w:r>
          </w:p>
        </w:tc>
      </w:tr>
      <w:tr>
        <w:tblPrEx>
          <w:tblCellMar>
            <w:top w:w="0" w:type="dxa"/>
            <w:left w:w="0" w:type="dxa"/>
            <w:bottom w:w="0" w:type="dxa"/>
            <w:right w:w="0" w:type="dxa"/>
          </w:tblCellMar>
        </w:tblPrEx>
        <w:trPr>
          <w:trHeight w:val="312" w:hRule="exac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（20）收支决算总表、收入决算表、支出决算表、财政拨款 支出决算表</w:t>
            </w:r>
          </w:p>
        </w:tc>
        <w:tc>
          <w:tcPr>
            <w:tcW w:w="2732" w:type="dxa"/>
            <w:vMerge w:val="continue"/>
            <w:tcBorders>
              <w:left w:val="single" w:color="000000" w:sz="4" w:space="0"/>
              <w:bottom w:val="single" w:color="auto"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r>
      <w:tr>
        <w:tblPrEx>
          <w:tblCellMar>
            <w:top w:w="0" w:type="dxa"/>
            <w:left w:w="0" w:type="dxa"/>
            <w:bottom w:w="0" w:type="dxa"/>
            <w:right w:w="0" w:type="dxa"/>
          </w:tblCellMar>
        </w:tblPrEx>
        <w:trPr>
          <w:trHeight w:val="437" w:hRule="exac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（21）收费项目、收费依据、收费标准及投诉方式</w:t>
            </w:r>
          </w:p>
        </w:tc>
        <w:tc>
          <w:tcPr>
            <w:tcW w:w="2732"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r>
              <w:rPr>
                <w:rFonts w:ascii="仿宋_GB2312" w:hAnsi="仿宋_GB2312" w:eastAsia="仿宋_GB2312" w:cs="仿宋_GB2312"/>
                <w:szCs w:val="21"/>
              </w:rPr>
              <w:t>https://www.ndzy.cn/cwk/list/377</w:t>
            </w:r>
          </w:p>
        </w:tc>
      </w:tr>
      <w:tr>
        <w:tblPrEx>
          <w:tblCellMar>
            <w:top w:w="0" w:type="dxa"/>
            <w:left w:w="0" w:type="dxa"/>
            <w:bottom w:w="0" w:type="dxa"/>
            <w:right w:w="0" w:type="dxa"/>
          </w:tblCellMar>
        </w:tblPrEx>
        <w:trPr>
          <w:trHeight w:val="584" w:hRule="exact"/>
        </w:trPr>
        <w:tc>
          <w:tcPr>
            <w:tcW w:w="78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4</w:t>
            </w:r>
          </w:p>
        </w:tc>
        <w:tc>
          <w:tcPr>
            <w:tcW w:w="148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人事师资信息</w:t>
            </w:r>
          </w:p>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（5项）</w:t>
            </w: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（22）校级领导干部社会兼职情况</w:t>
            </w:r>
          </w:p>
        </w:tc>
        <w:tc>
          <w:tcPr>
            <w:tcW w:w="2732"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https://www.ndzy.cn/index/list/10</w:t>
            </w:r>
          </w:p>
        </w:tc>
      </w:tr>
      <w:tr>
        <w:tblPrEx>
          <w:tblCellMar>
            <w:top w:w="0" w:type="dxa"/>
            <w:left w:w="0" w:type="dxa"/>
            <w:bottom w:w="0" w:type="dxa"/>
            <w:right w:w="0" w:type="dxa"/>
          </w:tblCellMar>
        </w:tblPrEx>
        <w:trPr>
          <w:trHeight w:val="330" w:hRule="exac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（23）校级领导干部因公出国（境）情况</w:t>
            </w:r>
          </w:p>
        </w:tc>
        <w:tc>
          <w:tcPr>
            <w:tcW w:w="2732"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right="0"/>
              <w:jc w:val="center"/>
              <w:textAlignment w:val="auto"/>
              <w:outlineLvl w:val="9"/>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https://www.ndzy.cn/index/list/10</w:t>
            </w:r>
          </w:p>
        </w:tc>
      </w:tr>
      <w:tr>
        <w:tblPrEx>
          <w:tblCellMar>
            <w:top w:w="0" w:type="dxa"/>
            <w:left w:w="0" w:type="dxa"/>
            <w:bottom w:w="0" w:type="dxa"/>
            <w:right w:w="0" w:type="dxa"/>
          </w:tblCellMar>
        </w:tblPrEx>
        <w:trPr>
          <w:trHeight w:val="319" w:hRule="exac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（24）</w:t>
            </w:r>
            <w:r>
              <w:rPr>
                <w:rFonts w:hint="eastAsia" w:ascii="仿宋_GB2312" w:hAnsi="仿宋_GB2312" w:eastAsia="仿宋_GB2312" w:cs="仿宋_GB2312"/>
                <w:color w:val="0000FF"/>
                <w:spacing w:val="-2"/>
                <w:kern w:val="0"/>
                <w:sz w:val="21"/>
                <w:szCs w:val="21"/>
                <w:lang w:val="en-US" w:eastAsia="zh-CN" w:bidi="ar"/>
              </w:rPr>
              <w:t>岗位设置管理与聘用办法</w:t>
            </w:r>
          </w:p>
        </w:tc>
        <w:tc>
          <w:tcPr>
            <w:tcW w:w="273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right="0"/>
              <w:jc w:val="center"/>
              <w:textAlignment w:val="auto"/>
              <w:outlineLvl w:val="9"/>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1.岗位设置：https://www.ndzy.cn/rsc/article/105/19191</w:t>
            </w:r>
          </w:p>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right="0"/>
              <w:jc w:val="center"/>
              <w:textAlignment w:val="auto"/>
              <w:outlineLvl w:val="9"/>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2.人员招聘</w:t>
            </w:r>
            <w:r>
              <w:rPr>
                <w:rFonts w:hint="eastAsia" w:ascii="仿宋_GB2312" w:hAnsi="仿宋_GB2312" w:eastAsia="仿宋_GB2312" w:cs="仿宋_GB2312"/>
                <w:color w:val="auto"/>
                <w:sz w:val="21"/>
                <w:szCs w:val="21"/>
              </w:rPr>
              <w:t>https://www.ndzy.cn/index/article/13/17111</w:t>
            </w:r>
            <w:r>
              <w:rPr>
                <w:rFonts w:hint="eastAsia" w:ascii="仿宋_GB2312" w:hAnsi="仿宋_GB2312" w:eastAsia="仿宋_GB2312" w:cs="仿宋_GB2312"/>
                <w:color w:val="auto"/>
                <w:sz w:val="21"/>
                <w:szCs w:val="21"/>
                <w:lang w:val="en-US" w:eastAsia="zh-CN"/>
              </w:rPr>
              <w:t>ex/article/13/18390</w:t>
            </w:r>
          </w:p>
        </w:tc>
      </w:tr>
      <w:tr>
        <w:tblPrEx>
          <w:tblCellMar>
            <w:top w:w="0" w:type="dxa"/>
            <w:left w:w="0" w:type="dxa"/>
            <w:bottom w:w="0" w:type="dxa"/>
            <w:right w:w="0" w:type="dxa"/>
          </w:tblCellMar>
        </w:tblPrEx>
        <w:trPr>
          <w:trHeight w:val="358" w:hRule="exac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（25）校内中层干部任免、</w:t>
            </w:r>
            <w:r>
              <w:rPr>
                <w:rFonts w:hint="eastAsia" w:ascii="仿宋_GB2312" w:hAnsi="仿宋_GB2312" w:eastAsia="仿宋_GB2312" w:cs="仿宋_GB2312"/>
                <w:color w:val="0000FF"/>
                <w:spacing w:val="-2"/>
                <w:kern w:val="0"/>
                <w:sz w:val="21"/>
                <w:szCs w:val="21"/>
                <w:lang w:val="en-US" w:eastAsia="zh-CN" w:bidi="ar"/>
              </w:rPr>
              <w:t>人员招聘信息</w:t>
            </w:r>
          </w:p>
        </w:tc>
        <w:tc>
          <w:tcPr>
            <w:tcW w:w="273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r>
      <w:tr>
        <w:tblPrEx>
          <w:tblCellMar>
            <w:top w:w="0" w:type="dxa"/>
            <w:left w:w="0" w:type="dxa"/>
            <w:bottom w:w="0" w:type="dxa"/>
            <w:right w:w="0" w:type="dxa"/>
          </w:tblCellMar>
        </w:tblPrEx>
        <w:trPr>
          <w:trHeight w:val="742" w:hRule="exac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（26）教职工争议解决办法</w:t>
            </w:r>
          </w:p>
        </w:tc>
        <w:tc>
          <w:tcPr>
            <w:tcW w:w="273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r>
      <w:tr>
        <w:tblPrEx>
          <w:tblCellMar>
            <w:top w:w="0" w:type="dxa"/>
            <w:left w:w="0" w:type="dxa"/>
            <w:bottom w:w="0" w:type="dxa"/>
            <w:right w:w="0" w:type="dxa"/>
          </w:tblCellMar>
        </w:tblPrEx>
        <w:trPr>
          <w:trHeight w:val="589" w:hRule="exact"/>
        </w:trPr>
        <w:tc>
          <w:tcPr>
            <w:tcW w:w="78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5</w:t>
            </w:r>
          </w:p>
        </w:tc>
        <w:tc>
          <w:tcPr>
            <w:tcW w:w="148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教学质量信息</w:t>
            </w:r>
          </w:p>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（9项）</w:t>
            </w: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lang w:val="en-US"/>
              </w:rPr>
            </w:pPr>
            <w:r>
              <w:rPr>
                <w:rFonts w:hint="eastAsia" w:ascii="仿宋_GB2312" w:hAnsi="仿宋_GB2312" w:eastAsia="仿宋_GB2312" w:cs="仿宋_GB2312"/>
                <w:color w:val="auto"/>
                <w:spacing w:val="-2"/>
                <w:kern w:val="0"/>
                <w:sz w:val="21"/>
                <w:szCs w:val="21"/>
                <w:lang w:val="en-US" w:eastAsia="zh-CN" w:bidi="ar"/>
              </w:rPr>
              <w:t>（27）本科生占全日制在校生总数的比例、教师数量及结构</w:t>
            </w:r>
          </w:p>
        </w:tc>
        <w:tc>
          <w:tcPr>
            <w:tcW w:w="273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pacing w:before="0" w:beforeAutospacing="0" w:after="0" w:afterAutospacing="0" w:line="240" w:lineRule="auto"/>
              <w:ind w:right="0"/>
              <w:jc w:val="both"/>
              <w:textAlignment w:val="auto"/>
              <w:outlineLvl w:val="9"/>
              <w:rPr>
                <w:rFonts w:hint="eastAsia" w:ascii="仿宋_GB2312" w:hAnsi="仿宋_GB2312" w:eastAsia="仿宋_GB2312" w:cs="仿宋_GB2312"/>
                <w:color w:val="auto"/>
                <w:spacing w:val="-2"/>
                <w:kern w:val="0"/>
                <w:sz w:val="21"/>
                <w:szCs w:val="21"/>
                <w:lang w:val="en-US" w:eastAsia="zh-CN" w:bidi="ar"/>
              </w:rPr>
            </w:pPr>
            <w:r>
              <w:rPr>
                <w:rFonts w:hint="eastAsia" w:ascii="仿宋_GB2312" w:hAnsi="仿宋_GB2312" w:eastAsia="仿宋_GB2312" w:cs="仿宋_GB2312"/>
                <w:color w:val="auto"/>
                <w:spacing w:val="-2"/>
                <w:kern w:val="0"/>
                <w:sz w:val="21"/>
                <w:szCs w:val="21"/>
                <w:lang w:val="en-US" w:eastAsia="zh-CN" w:bidi="ar"/>
              </w:rPr>
              <w:t>https://www.ndzy.cn/jwc</w:t>
            </w:r>
          </w:p>
        </w:tc>
      </w:tr>
      <w:tr>
        <w:tblPrEx>
          <w:tblCellMar>
            <w:top w:w="0" w:type="dxa"/>
            <w:left w:w="0" w:type="dxa"/>
            <w:bottom w:w="0" w:type="dxa"/>
            <w:right w:w="0" w:type="dxa"/>
          </w:tblCellMar>
        </w:tblPrEx>
        <w:trPr>
          <w:trHeight w:val="417" w:hRule="exac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（28）专业设置、当年新增专业、停招专业名单</w:t>
            </w:r>
          </w:p>
        </w:tc>
        <w:tc>
          <w:tcPr>
            <w:tcW w:w="273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r>
      <w:tr>
        <w:tblPrEx>
          <w:tblCellMar>
            <w:top w:w="0" w:type="dxa"/>
            <w:left w:w="0" w:type="dxa"/>
            <w:bottom w:w="0" w:type="dxa"/>
            <w:right w:w="0" w:type="dxa"/>
          </w:tblCellMar>
        </w:tblPrEx>
        <w:trPr>
          <w:trHeight w:val="668" w:hRule="exac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（29）全校开设课程总门数、实践教学学分占总学分比例、 选修课学分占总学分比例</w:t>
            </w:r>
          </w:p>
        </w:tc>
        <w:tc>
          <w:tcPr>
            <w:tcW w:w="273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r>
      <w:tr>
        <w:tblPrEx>
          <w:tblCellMar>
            <w:top w:w="0" w:type="dxa"/>
            <w:left w:w="0" w:type="dxa"/>
            <w:bottom w:w="0" w:type="dxa"/>
            <w:right w:w="0" w:type="dxa"/>
          </w:tblCellMar>
        </w:tblPrEx>
        <w:trPr>
          <w:trHeight w:val="607" w:hRule="exac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（30）主讲本科课程的教授占教授总数的比例、教授授本科 课程占课程总门次数的比例</w:t>
            </w:r>
          </w:p>
        </w:tc>
        <w:tc>
          <w:tcPr>
            <w:tcW w:w="273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r>
      <w:tr>
        <w:tblPrEx>
          <w:tblCellMar>
            <w:top w:w="0" w:type="dxa"/>
            <w:left w:w="0" w:type="dxa"/>
            <w:bottom w:w="0" w:type="dxa"/>
            <w:right w:w="0" w:type="dxa"/>
          </w:tblCellMar>
        </w:tblPrEx>
        <w:trPr>
          <w:trHeight w:val="391" w:hRule="exac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leftChars="0" w:right="0" w:rightChars="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（31）促进毕业生就业的政策措施和指导服务</w:t>
            </w:r>
          </w:p>
        </w:tc>
        <w:tc>
          <w:tcPr>
            <w:tcW w:w="273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right="0"/>
              <w:jc w:val="center"/>
              <w:textAlignment w:val="auto"/>
              <w:outlineLvl w:val="9"/>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https://www.ndzy.cn/xsc</w:t>
            </w:r>
          </w:p>
        </w:tc>
      </w:tr>
      <w:tr>
        <w:tblPrEx>
          <w:tblCellMar>
            <w:top w:w="0" w:type="dxa"/>
            <w:left w:w="0" w:type="dxa"/>
            <w:bottom w:w="0" w:type="dxa"/>
            <w:right w:w="0" w:type="dxa"/>
          </w:tblCellMar>
        </w:tblPrEx>
        <w:trPr>
          <w:trHeight w:val="442" w:hRule="atLeas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leftChars="0" w:right="0" w:rightChars="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（32）毕业生的规模、结构、就业率、就业流向</w:t>
            </w:r>
          </w:p>
        </w:tc>
        <w:tc>
          <w:tcPr>
            <w:tcW w:w="273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r>
      <w:tr>
        <w:tblPrEx>
          <w:tblCellMar>
            <w:top w:w="0" w:type="dxa"/>
            <w:left w:w="0" w:type="dxa"/>
            <w:bottom w:w="0" w:type="dxa"/>
            <w:right w:w="0" w:type="dxa"/>
          </w:tblCellMar>
        </w:tblPrEx>
        <w:trPr>
          <w:trHeight w:val="373" w:hRule="exac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lang w:val="en-US"/>
              </w:rPr>
            </w:pPr>
            <w:r>
              <w:rPr>
                <w:rFonts w:hint="eastAsia" w:ascii="仿宋_GB2312" w:hAnsi="仿宋_GB2312" w:eastAsia="仿宋_GB2312" w:cs="仿宋_GB2312"/>
                <w:color w:val="auto"/>
                <w:spacing w:val="-2"/>
                <w:kern w:val="0"/>
                <w:sz w:val="21"/>
                <w:szCs w:val="21"/>
                <w:lang w:val="en-US" w:eastAsia="zh-CN" w:bidi="ar"/>
              </w:rPr>
              <w:t>（35）本科教学质量报告（无）</w:t>
            </w:r>
          </w:p>
        </w:tc>
        <w:tc>
          <w:tcPr>
            <w:tcW w:w="273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r>
      <w:tr>
        <w:tblPrEx>
          <w:tblCellMar>
            <w:top w:w="0" w:type="dxa"/>
            <w:left w:w="0" w:type="dxa"/>
            <w:bottom w:w="0" w:type="dxa"/>
            <w:right w:w="0" w:type="dxa"/>
          </w:tblCellMar>
        </w:tblPrEx>
        <w:trPr>
          <w:trHeight w:val="275" w:hRule="exact"/>
        </w:trPr>
        <w:tc>
          <w:tcPr>
            <w:tcW w:w="78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6</w:t>
            </w:r>
          </w:p>
        </w:tc>
        <w:tc>
          <w:tcPr>
            <w:tcW w:w="148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学生管理服务信息</w:t>
            </w:r>
          </w:p>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（4项）</w:t>
            </w: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（36）学籍管理办法</w:t>
            </w:r>
          </w:p>
        </w:tc>
        <w:tc>
          <w:tcPr>
            <w:tcW w:w="2732"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wordWrap/>
              <w:topLinePunct w:val="0"/>
              <w:autoSpaceDE/>
              <w:autoSpaceDN/>
              <w:bidi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ascii="仿宋_GB2312" w:hAnsi="仿宋_GB2312" w:eastAsia="仿宋_GB2312" w:cs="仿宋_GB2312"/>
                <w:szCs w:val="21"/>
              </w:rPr>
              <w:t>https://www.ndzy.cn/xsc/article/183/4693</w:t>
            </w:r>
          </w:p>
        </w:tc>
      </w:tr>
      <w:tr>
        <w:tblPrEx>
          <w:tblCellMar>
            <w:top w:w="0" w:type="dxa"/>
            <w:left w:w="0" w:type="dxa"/>
            <w:bottom w:w="0" w:type="dxa"/>
            <w:right w:w="0" w:type="dxa"/>
          </w:tblCellMar>
        </w:tblPrEx>
        <w:trPr>
          <w:trHeight w:val="640" w:hRule="exac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（37）学生奖学金、助学金、学费减免、助学贷款、勤工俭 学的申请与管理规定</w:t>
            </w:r>
          </w:p>
        </w:tc>
        <w:tc>
          <w:tcPr>
            <w:tcW w:w="2732" w:type="dxa"/>
            <w:vMerge w:val="restart"/>
            <w:tcBorders>
              <w:top w:val="single" w:color="auto" w:sz="4" w:space="0"/>
              <w:left w:val="single" w:color="000000" w:sz="4" w:space="0"/>
              <w:right w:val="single" w:color="000000" w:sz="4" w:space="0"/>
            </w:tcBorders>
            <w:noWrap w:val="0"/>
            <w:vAlign w:val="center"/>
          </w:tcPr>
          <w:p>
            <w:pPr>
              <w:widowControl/>
              <w:jc w:val="center"/>
              <w:rPr>
                <w:rFonts w:ascii="仿宋_GB2312" w:hAnsi="仿宋_GB2312" w:eastAsia="仿宋_GB2312" w:cs="仿宋_GB2312"/>
                <w:szCs w:val="21"/>
              </w:rPr>
            </w:pPr>
            <w:r>
              <w:rPr>
                <w:rFonts w:ascii="仿宋_GB2312" w:hAnsi="仿宋_GB2312" w:eastAsia="仿宋_GB2312" w:cs="仿宋_GB2312"/>
                <w:szCs w:val="21"/>
              </w:rPr>
              <w:t>https://www.ndzy.cn/xsc/article/183/11148</w:t>
            </w:r>
          </w:p>
          <w:p>
            <w:pPr>
              <w:widowControl/>
              <w:jc w:val="center"/>
              <w:rPr>
                <w:rFonts w:ascii="仿宋_GB2312" w:hAnsi="仿宋_GB2312" w:eastAsia="仿宋_GB2312" w:cs="仿宋_GB2312"/>
                <w:szCs w:val="21"/>
              </w:rPr>
            </w:pPr>
            <w:r>
              <w:rPr>
                <w:rFonts w:ascii="仿宋_GB2312" w:hAnsi="仿宋_GB2312" w:eastAsia="仿宋_GB2312" w:cs="仿宋_GB2312"/>
                <w:szCs w:val="21"/>
              </w:rPr>
              <w:t>https://www.ndzy.cn/xszzx/article/348/19137</w:t>
            </w:r>
          </w:p>
          <w:p>
            <w:pPr>
              <w:widowControl/>
              <w:jc w:val="center"/>
              <w:rPr>
                <w:rFonts w:ascii="仿宋_GB2312" w:hAnsi="仿宋_GB2312" w:eastAsia="仿宋_GB2312" w:cs="仿宋_GB2312"/>
                <w:szCs w:val="21"/>
              </w:rPr>
            </w:pPr>
            <w:r>
              <w:rPr>
                <w:rFonts w:ascii="仿宋_GB2312" w:hAnsi="仿宋_GB2312" w:eastAsia="仿宋_GB2312" w:cs="仿宋_GB2312"/>
                <w:szCs w:val="21"/>
              </w:rPr>
              <w:t>https://www.ndzy.cn/xsc/article/183/11154</w:t>
            </w:r>
          </w:p>
          <w:p>
            <w:pPr>
              <w:widowControl/>
              <w:jc w:val="center"/>
              <w:rPr>
                <w:rFonts w:ascii="仿宋_GB2312" w:hAnsi="仿宋_GB2312" w:eastAsia="仿宋_GB2312" w:cs="仿宋_GB2312"/>
                <w:szCs w:val="21"/>
              </w:rPr>
            </w:pPr>
            <w:r>
              <w:rPr>
                <w:rFonts w:ascii="仿宋_GB2312" w:hAnsi="仿宋_GB2312" w:eastAsia="仿宋_GB2312" w:cs="仿宋_GB2312"/>
                <w:szCs w:val="21"/>
              </w:rPr>
              <w:t>https://www.ndzy.cn/xszzx/article/350/17812</w:t>
            </w:r>
          </w:p>
          <w:p>
            <w:pPr>
              <w:keepNext w:val="0"/>
              <w:keepLines w:val="0"/>
              <w:pageBreakBefore w:val="0"/>
              <w:widowControl/>
              <w:suppressLineNumbers w:val="0"/>
              <w:wordWrap/>
              <w:topLinePunct w:val="0"/>
              <w:autoSpaceDE/>
              <w:autoSpaceDN/>
              <w:bidi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ascii="仿宋_GB2312" w:hAnsi="仿宋_GB2312" w:eastAsia="仿宋_GB2312" w:cs="仿宋_GB2312"/>
                <w:szCs w:val="21"/>
              </w:rPr>
              <w:t>https://www.ndzy.cn/xsc/a</w:t>
            </w:r>
          </w:p>
        </w:tc>
      </w:tr>
      <w:tr>
        <w:tblPrEx>
          <w:tblCellMar>
            <w:top w:w="0" w:type="dxa"/>
            <w:left w:w="0" w:type="dxa"/>
            <w:bottom w:w="0" w:type="dxa"/>
            <w:right w:w="0" w:type="dxa"/>
          </w:tblCellMar>
        </w:tblPrEx>
        <w:trPr>
          <w:trHeight w:val="347" w:hRule="exac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（38）学生奖励处罚办法</w:t>
            </w:r>
          </w:p>
        </w:tc>
        <w:tc>
          <w:tcPr>
            <w:tcW w:w="2732" w:type="dxa"/>
            <w:vMerge w:val="continue"/>
            <w:tcBorders>
              <w:left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pacing w:before="0" w:beforeAutospacing="0" w:after="0" w:afterAutospacing="0" w:line="240" w:lineRule="auto"/>
              <w:ind w:right="0"/>
              <w:jc w:val="center"/>
              <w:textAlignment w:val="auto"/>
              <w:outlineLvl w:val="9"/>
              <w:rPr>
                <w:rFonts w:hint="eastAsia" w:ascii="仿宋_GB2312" w:hAnsi="仿宋_GB2312" w:eastAsia="仿宋_GB2312" w:cs="仿宋_GB2312"/>
                <w:color w:val="auto"/>
                <w:sz w:val="21"/>
                <w:szCs w:val="21"/>
                <w:lang w:val="en-US" w:eastAsia="zh-CN"/>
              </w:rPr>
            </w:pPr>
          </w:p>
        </w:tc>
      </w:tr>
      <w:tr>
        <w:tblPrEx>
          <w:tblCellMar>
            <w:top w:w="0" w:type="dxa"/>
            <w:left w:w="0" w:type="dxa"/>
            <w:bottom w:w="0" w:type="dxa"/>
            <w:right w:w="0" w:type="dxa"/>
          </w:tblCellMar>
        </w:tblPrEx>
        <w:trPr>
          <w:trHeight w:val="318" w:hRule="exac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（39）学生申诉办法</w:t>
            </w:r>
          </w:p>
        </w:tc>
        <w:tc>
          <w:tcPr>
            <w:tcW w:w="2732" w:type="dxa"/>
            <w:vMerge w:val="continue"/>
            <w:tcBorders>
              <w:left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r>
      <w:tr>
        <w:tblPrEx>
          <w:tblCellMar>
            <w:top w:w="0" w:type="dxa"/>
            <w:left w:w="0" w:type="dxa"/>
            <w:bottom w:w="0" w:type="dxa"/>
            <w:right w:w="0" w:type="dxa"/>
          </w:tblCellMar>
        </w:tblPrEx>
        <w:trPr>
          <w:trHeight w:val="393" w:hRule="exact"/>
        </w:trPr>
        <w:tc>
          <w:tcPr>
            <w:tcW w:w="78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7</w:t>
            </w:r>
          </w:p>
        </w:tc>
        <w:tc>
          <w:tcPr>
            <w:tcW w:w="148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学风建设信息</w:t>
            </w:r>
          </w:p>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（3项）</w:t>
            </w: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（40）学风建设机构</w:t>
            </w:r>
          </w:p>
        </w:tc>
        <w:tc>
          <w:tcPr>
            <w:tcW w:w="2732"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wordWrap/>
              <w:topLinePunct w:val="0"/>
              <w:autoSpaceDE/>
              <w:autoSpaceDN/>
              <w:bidi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p>
        </w:tc>
      </w:tr>
      <w:tr>
        <w:tblPrEx>
          <w:tblCellMar>
            <w:top w:w="0" w:type="dxa"/>
            <w:left w:w="0" w:type="dxa"/>
            <w:bottom w:w="0" w:type="dxa"/>
            <w:right w:w="0" w:type="dxa"/>
          </w:tblCellMar>
        </w:tblPrEx>
        <w:trPr>
          <w:trHeight w:val="342" w:hRule="exac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（41）学术规范制度</w:t>
            </w:r>
          </w:p>
        </w:tc>
        <w:tc>
          <w:tcPr>
            <w:tcW w:w="2732"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https://www.ndzy.cn/kjc</w:t>
            </w:r>
          </w:p>
        </w:tc>
      </w:tr>
      <w:tr>
        <w:tblPrEx>
          <w:tblCellMar>
            <w:top w:w="0" w:type="dxa"/>
            <w:left w:w="0" w:type="dxa"/>
            <w:bottom w:w="0" w:type="dxa"/>
            <w:right w:w="0" w:type="dxa"/>
          </w:tblCellMar>
        </w:tblPrEx>
        <w:trPr>
          <w:trHeight w:val="430" w:hRule="exac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（42）学术不端行为查处机制</w:t>
            </w:r>
          </w:p>
        </w:tc>
        <w:tc>
          <w:tcPr>
            <w:tcW w:w="2732" w:type="dxa"/>
            <w:vMerge w:val="continue"/>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r>
      <w:tr>
        <w:tblPrEx>
          <w:tblCellMar>
            <w:top w:w="0" w:type="dxa"/>
            <w:left w:w="0" w:type="dxa"/>
            <w:bottom w:w="0" w:type="dxa"/>
            <w:right w:w="0" w:type="dxa"/>
          </w:tblCellMar>
        </w:tblPrEx>
        <w:trPr>
          <w:trHeight w:val="555" w:hRule="exact"/>
        </w:trPr>
        <w:tc>
          <w:tcPr>
            <w:tcW w:w="78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8</w:t>
            </w:r>
          </w:p>
        </w:tc>
        <w:tc>
          <w:tcPr>
            <w:tcW w:w="148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学位、学科信息</w:t>
            </w:r>
          </w:p>
          <w:p>
            <w:pPr>
              <w:keepNext w:val="0"/>
              <w:keepLines w:val="0"/>
              <w:pageBreakBefore w:val="0"/>
              <w:widowControl w:val="0"/>
              <w:suppressLineNumbers w:val="0"/>
              <w:kinsoku w:val="0"/>
              <w:wordWrap/>
              <w:overflowPunct w:val="0"/>
              <w:topLinePunct w:val="0"/>
              <w:autoSpaceDE/>
              <w:autoSpaceDN/>
              <w:bidi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（4项）</w:t>
            </w: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（43）授予博士、硕士、学士学位的基本要求</w:t>
            </w:r>
          </w:p>
        </w:tc>
        <w:tc>
          <w:tcPr>
            <w:tcW w:w="27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无此类情况</w:t>
            </w:r>
          </w:p>
        </w:tc>
      </w:tr>
      <w:tr>
        <w:tblPrEx>
          <w:tblCellMar>
            <w:top w:w="0" w:type="dxa"/>
            <w:left w:w="0" w:type="dxa"/>
            <w:bottom w:w="0" w:type="dxa"/>
            <w:right w:w="0" w:type="dxa"/>
          </w:tblCellMar>
        </w:tblPrEx>
        <w:trPr>
          <w:trHeight w:val="645" w:hRule="exac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（44）拟授予硕士、博士学位同等学力人员资格审查和学力 水平认定</w:t>
            </w:r>
          </w:p>
        </w:tc>
        <w:tc>
          <w:tcPr>
            <w:tcW w:w="27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无此类情况</w:t>
            </w:r>
          </w:p>
        </w:tc>
      </w:tr>
      <w:tr>
        <w:tblPrEx>
          <w:tblCellMar>
            <w:top w:w="0" w:type="dxa"/>
            <w:left w:w="0" w:type="dxa"/>
            <w:bottom w:w="0" w:type="dxa"/>
            <w:right w:w="0" w:type="dxa"/>
          </w:tblCellMar>
        </w:tblPrEx>
        <w:trPr>
          <w:trHeight w:val="619" w:hRule="exac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（45）新增硕士、博士学位授权学科或专业学位授权点审核 办法</w:t>
            </w:r>
          </w:p>
        </w:tc>
        <w:tc>
          <w:tcPr>
            <w:tcW w:w="273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wordWrap/>
              <w:topLinePunct w:val="0"/>
              <w:autoSpaceDE/>
              <w:autoSpaceDN/>
              <w:bidi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无此类情况</w:t>
            </w:r>
          </w:p>
        </w:tc>
      </w:tr>
      <w:tr>
        <w:tblPrEx>
          <w:tblCellMar>
            <w:top w:w="0" w:type="dxa"/>
            <w:left w:w="0" w:type="dxa"/>
            <w:bottom w:w="0" w:type="dxa"/>
            <w:right w:w="0" w:type="dxa"/>
          </w:tblCellMar>
        </w:tblPrEx>
        <w:trPr>
          <w:trHeight w:val="550" w:hRule="atLeas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（46）拟新增学位授权学科或专业学位授权点的申报及论证材料</w:t>
            </w:r>
          </w:p>
        </w:tc>
        <w:tc>
          <w:tcPr>
            <w:tcW w:w="2732"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r>
      <w:tr>
        <w:tblPrEx>
          <w:tblCellMar>
            <w:top w:w="0" w:type="dxa"/>
            <w:left w:w="0" w:type="dxa"/>
            <w:bottom w:w="0" w:type="dxa"/>
            <w:right w:w="0" w:type="dxa"/>
          </w:tblCellMar>
        </w:tblPrEx>
        <w:trPr>
          <w:trHeight w:val="636" w:hRule="exact"/>
        </w:trPr>
        <w:tc>
          <w:tcPr>
            <w:tcW w:w="78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9</w:t>
            </w:r>
          </w:p>
        </w:tc>
        <w:tc>
          <w:tcPr>
            <w:tcW w:w="148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对外交流</w:t>
            </w:r>
          </w:p>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与合作信息</w:t>
            </w:r>
          </w:p>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（2项）</w:t>
            </w: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（47）中外合作办学情况</w:t>
            </w:r>
          </w:p>
        </w:tc>
        <w:tc>
          <w:tcPr>
            <w:tcW w:w="27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tabs>
                <w:tab w:val="left" w:pos="680"/>
              </w:tabs>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无此类情况</w:t>
            </w:r>
          </w:p>
        </w:tc>
      </w:tr>
      <w:tr>
        <w:tblPrEx>
          <w:tblCellMar>
            <w:top w:w="0" w:type="dxa"/>
            <w:left w:w="0" w:type="dxa"/>
            <w:bottom w:w="0" w:type="dxa"/>
            <w:right w:w="0" w:type="dxa"/>
          </w:tblCellMar>
        </w:tblPrEx>
        <w:trPr>
          <w:trHeight w:val="410" w:hRule="exac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（48）来华留学生管理相关规定</w:t>
            </w:r>
          </w:p>
        </w:tc>
        <w:tc>
          <w:tcPr>
            <w:tcW w:w="27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无此类情况</w:t>
            </w:r>
          </w:p>
        </w:tc>
      </w:tr>
      <w:tr>
        <w:tblPrEx>
          <w:tblCellMar>
            <w:top w:w="0" w:type="dxa"/>
            <w:left w:w="0" w:type="dxa"/>
            <w:bottom w:w="0" w:type="dxa"/>
            <w:right w:w="0" w:type="dxa"/>
          </w:tblCellMar>
        </w:tblPrEx>
        <w:trPr>
          <w:trHeight w:val="594" w:hRule="exact"/>
        </w:trPr>
        <w:tc>
          <w:tcPr>
            <w:tcW w:w="78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10</w:t>
            </w:r>
          </w:p>
        </w:tc>
        <w:tc>
          <w:tcPr>
            <w:tcW w:w="148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pacing w:val="-2"/>
                <w:kern w:val="0"/>
                <w:sz w:val="21"/>
                <w:szCs w:val="21"/>
                <w:lang w:val="en-US" w:eastAsia="zh-CN" w:bidi="ar"/>
              </w:rPr>
            </w:pPr>
            <w:r>
              <w:rPr>
                <w:rFonts w:hint="eastAsia" w:ascii="仿宋_GB2312" w:hAnsi="仿宋_GB2312" w:eastAsia="仿宋_GB2312" w:cs="仿宋_GB2312"/>
                <w:color w:val="auto"/>
                <w:spacing w:val="-2"/>
                <w:kern w:val="0"/>
                <w:sz w:val="21"/>
                <w:szCs w:val="21"/>
                <w:lang w:val="en-US" w:eastAsia="zh-CN" w:bidi="ar"/>
              </w:rPr>
              <w:t>其他</w:t>
            </w:r>
          </w:p>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（2项）</w:t>
            </w: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（49）巡视组反馈意见，落实反馈意见整改情况</w:t>
            </w:r>
          </w:p>
        </w:tc>
        <w:tc>
          <w:tcPr>
            <w:tcW w:w="27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https://www.ndzy.cn/index/article/12/16004</w:t>
            </w:r>
          </w:p>
        </w:tc>
      </w:tr>
      <w:tr>
        <w:tblPrEx>
          <w:tblCellMar>
            <w:top w:w="0" w:type="dxa"/>
            <w:left w:w="0" w:type="dxa"/>
            <w:bottom w:w="0" w:type="dxa"/>
            <w:right w:w="0" w:type="dxa"/>
          </w:tblCellMar>
        </w:tblPrEx>
        <w:trPr>
          <w:trHeight w:val="988" w:hRule="exact"/>
        </w:trPr>
        <w:tc>
          <w:tcPr>
            <w:tcW w:w="78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148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ordWrap/>
              <w:topLinePunct w:val="0"/>
              <w:autoSpaceDE/>
              <w:autoSpaceDN/>
              <w:bidi w:val="0"/>
              <w:spacing w:line="240" w:lineRule="auto"/>
              <w:jc w:val="center"/>
              <w:textAlignment w:val="auto"/>
              <w:outlineLvl w:val="9"/>
              <w:rPr>
                <w:rFonts w:hint="eastAsia" w:ascii="仿宋_GB2312" w:hAnsi="仿宋_GB2312" w:eastAsia="仿宋_GB2312" w:cs="仿宋_GB2312"/>
                <w:color w:val="auto"/>
                <w:sz w:val="21"/>
                <w:szCs w:val="21"/>
              </w:rPr>
            </w:pPr>
          </w:p>
        </w:tc>
        <w:tc>
          <w:tcPr>
            <w:tcW w:w="473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left"/>
              <w:textAlignment w:val="auto"/>
              <w:outlineLvl w:val="9"/>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pacing w:val="-2"/>
                <w:kern w:val="0"/>
                <w:sz w:val="21"/>
                <w:szCs w:val="21"/>
                <w:lang w:val="en-US" w:eastAsia="zh-CN" w:bidi="ar"/>
              </w:rPr>
              <w:t>（50）自然灾害等突发事件的应急处理预案、预警信息和处置情况，涉及学院的重大事件的调查和处理情况</w:t>
            </w:r>
          </w:p>
        </w:tc>
        <w:tc>
          <w:tcPr>
            <w:tcW w:w="27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https://www.ndzy.cn/bgs</w:t>
            </w:r>
          </w:p>
        </w:tc>
      </w:tr>
    </w:tbl>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center"/>
        <w:textAlignment w:val="auto"/>
        <w:outlineLvl w:val="9"/>
        <w:rPr>
          <w:rFonts w:hint="eastAsia" w:ascii="仿宋_GB2312" w:hAnsi="仿宋_GB2312" w:eastAsia="仿宋_GB2312" w:cs="仿宋_GB2312"/>
          <w:color w:val="auto"/>
          <w:spacing w:val="-2"/>
          <w:kern w:val="0"/>
          <w:sz w:val="21"/>
          <w:szCs w:val="21"/>
          <w:lang w:val="en-US" w:eastAsia="zh-CN" w:bidi="ar"/>
        </w:rPr>
      </w:pPr>
      <w:r>
        <w:rPr>
          <w:rFonts w:hint="eastAsia" w:ascii="仿宋_GB2312" w:hAnsi="仿宋_GB2312" w:eastAsia="仿宋_GB2312" w:cs="仿宋_GB2312"/>
          <w:color w:val="auto"/>
          <w:spacing w:val="-2"/>
          <w:kern w:val="0"/>
          <w:sz w:val="21"/>
          <w:szCs w:val="21"/>
          <w:lang w:val="en-US" w:eastAsia="zh-CN" w:bidi="ar"/>
        </w:rPr>
        <w:t>（共10大类50条）</w:t>
      </w:r>
    </w:p>
    <w:p>
      <w:pPr>
        <w:keepNext w:val="0"/>
        <w:keepLines w:val="0"/>
        <w:pageBreakBefore w:val="0"/>
        <w:widowControl w:val="0"/>
        <w:suppressLineNumbers w:val="0"/>
        <w:kinsoku w:val="0"/>
        <w:wordWrap/>
        <w:overflowPunct w:val="0"/>
        <w:topLinePunct w:val="0"/>
        <w:autoSpaceDE/>
        <w:autoSpaceDN/>
        <w:bidi w:val="0"/>
        <w:snapToGrid/>
        <w:spacing w:before="0" w:beforeAutospacing="0" w:after="0" w:afterAutospacing="0" w:line="240" w:lineRule="auto"/>
        <w:ind w:left="0" w:right="0"/>
        <w:jc w:val="both"/>
        <w:textAlignment w:val="auto"/>
        <w:outlineLvl w:val="9"/>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panose1 w:val="02010600030101010101"/>
    <w:charset w:val="7A"/>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auto"/>
    <w:pitch w:val="default"/>
    <w:sig w:usb0="00000001" w:usb1="080E0000" w:usb2="00000000" w:usb3="00000000" w:csb0="00040000" w:csb1="00000000"/>
  </w:font>
  <w:font w:name="方正小标宋简体">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13910E"/>
    <w:multiLevelType w:val="singleLevel"/>
    <w:tmpl w:val="5A13910E"/>
    <w:lvl w:ilvl="0" w:tentative="0">
      <w:start w:val="7"/>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c4NGE2Mzk5Yzg1Mjg1NzE0ZDFkOTlhMDg0MTQ1ZGUifQ=="/>
  </w:docVars>
  <w:rsids>
    <w:rsidRoot w:val="00000000"/>
    <w:rsid w:val="00A35BC2"/>
    <w:rsid w:val="00C32829"/>
    <w:rsid w:val="010213BF"/>
    <w:rsid w:val="0202170A"/>
    <w:rsid w:val="04074D58"/>
    <w:rsid w:val="04134A25"/>
    <w:rsid w:val="041B3224"/>
    <w:rsid w:val="04282D0D"/>
    <w:rsid w:val="04A10F62"/>
    <w:rsid w:val="056430D5"/>
    <w:rsid w:val="05991DF5"/>
    <w:rsid w:val="05EE492D"/>
    <w:rsid w:val="060C0B1E"/>
    <w:rsid w:val="06277D15"/>
    <w:rsid w:val="06353893"/>
    <w:rsid w:val="06924DE9"/>
    <w:rsid w:val="07560C60"/>
    <w:rsid w:val="079D5FA9"/>
    <w:rsid w:val="089E6879"/>
    <w:rsid w:val="09A801E7"/>
    <w:rsid w:val="0A5140DF"/>
    <w:rsid w:val="0B536D2E"/>
    <w:rsid w:val="0B9F01C5"/>
    <w:rsid w:val="0BE61D6A"/>
    <w:rsid w:val="0D6D325A"/>
    <w:rsid w:val="0DF65EB1"/>
    <w:rsid w:val="0E9D0AE6"/>
    <w:rsid w:val="0F5043EE"/>
    <w:rsid w:val="0FDC6702"/>
    <w:rsid w:val="10524E07"/>
    <w:rsid w:val="11343DEE"/>
    <w:rsid w:val="117D68B3"/>
    <w:rsid w:val="1273129D"/>
    <w:rsid w:val="12CD4C9B"/>
    <w:rsid w:val="14365975"/>
    <w:rsid w:val="14D846B6"/>
    <w:rsid w:val="158030B9"/>
    <w:rsid w:val="15AE062E"/>
    <w:rsid w:val="16325EF4"/>
    <w:rsid w:val="167C4F45"/>
    <w:rsid w:val="16D37944"/>
    <w:rsid w:val="16E82ADA"/>
    <w:rsid w:val="177E5132"/>
    <w:rsid w:val="178C110C"/>
    <w:rsid w:val="17E12D76"/>
    <w:rsid w:val="182F3515"/>
    <w:rsid w:val="185C1AD9"/>
    <w:rsid w:val="185D1C5F"/>
    <w:rsid w:val="18E11070"/>
    <w:rsid w:val="1BF81957"/>
    <w:rsid w:val="1C322215"/>
    <w:rsid w:val="1CE75B2E"/>
    <w:rsid w:val="1D14115B"/>
    <w:rsid w:val="1D431B9B"/>
    <w:rsid w:val="1D85712D"/>
    <w:rsid w:val="1E5A72F8"/>
    <w:rsid w:val="1E636FBA"/>
    <w:rsid w:val="1E6423F8"/>
    <w:rsid w:val="1EDA17E8"/>
    <w:rsid w:val="1F2448BB"/>
    <w:rsid w:val="1F425DA3"/>
    <w:rsid w:val="1F5F00DD"/>
    <w:rsid w:val="202721C8"/>
    <w:rsid w:val="21072C86"/>
    <w:rsid w:val="21171601"/>
    <w:rsid w:val="224F7DF7"/>
    <w:rsid w:val="23A20844"/>
    <w:rsid w:val="23C97BAE"/>
    <w:rsid w:val="23FB5B61"/>
    <w:rsid w:val="246443A0"/>
    <w:rsid w:val="25006C85"/>
    <w:rsid w:val="259219EF"/>
    <w:rsid w:val="264822E6"/>
    <w:rsid w:val="27117A20"/>
    <w:rsid w:val="28437A9A"/>
    <w:rsid w:val="28B9341B"/>
    <w:rsid w:val="2A10152D"/>
    <w:rsid w:val="2A253F15"/>
    <w:rsid w:val="2A7F27ED"/>
    <w:rsid w:val="2AF80E9D"/>
    <w:rsid w:val="2AFB4F9B"/>
    <w:rsid w:val="2BA31534"/>
    <w:rsid w:val="2C4F754A"/>
    <w:rsid w:val="2C82648A"/>
    <w:rsid w:val="2D5716A7"/>
    <w:rsid w:val="2D8F68C6"/>
    <w:rsid w:val="2EEA298A"/>
    <w:rsid w:val="2F3C2569"/>
    <w:rsid w:val="2F4777A0"/>
    <w:rsid w:val="2FCA6940"/>
    <w:rsid w:val="2FCC248E"/>
    <w:rsid w:val="303D3985"/>
    <w:rsid w:val="30AA25F6"/>
    <w:rsid w:val="30D13479"/>
    <w:rsid w:val="31127BB7"/>
    <w:rsid w:val="31440ED2"/>
    <w:rsid w:val="320540D0"/>
    <w:rsid w:val="32C32F2F"/>
    <w:rsid w:val="33137AD9"/>
    <w:rsid w:val="34795A71"/>
    <w:rsid w:val="349501AE"/>
    <w:rsid w:val="35032B82"/>
    <w:rsid w:val="352769B2"/>
    <w:rsid w:val="3549226E"/>
    <w:rsid w:val="35935A39"/>
    <w:rsid w:val="36085F91"/>
    <w:rsid w:val="36397417"/>
    <w:rsid w:val="371E0A3C"/>
    <w:rsid w:val="371F6DA2"/>
    <w:rsid w:val="38107583"/>
    <w:rsid w:val="39335925"/>
    <w:rsid w:val="39347209"/>
    <w:rsid w:val="39A95F2D"/>
    <w:rsid w:val="39C5192F"/>
    <w:rsid w:val="3A3B5F48"/>
    <w:rsid w:val="3A4D5A41"/>
    <w:rsid w:val="3B3C2172"/>
    <w:rsid w:val="3BBC144F"/>
    <w:rsid w:val="3C363841"/>
    <w:rsid w:val="3D4B3A44"/>
    <w:rsid w:val="3D800652"/>
    <w:rsid w:val="3E45657B"/>
    <w:rsid w:val="3E647F6F"/>
    <w:rsid w:val="3F5F6E0B"/>
    <w:rsid w:val="3FA85236"/>
    <w:rsid w:val="403C7AC4"/>
    <w:rsid w:val="413C1B1F"/>
    <w:rsid w:val="41814752"/>
    <w:rsid w:val="41A73354"/>
    <w:rsid w:val="421263A7"/>
    <w:rsid w:val="4261555B"/>
    <w:rsid w:val="44501EF2"/>
    <w:rsid w:val="449428BD"/>
    <w:rsid w:val="45FC3821"/>
    <w:rsid w:val="461E495F"/>
    <w:rsid w:val="46862ED8"/>
    <w:rsid w:val="4723522B"/>
    <w:rsid w:val="474844A2"/>
    <w:rsid w:val="47B727F3"/>
    <w:rsid w:val="498D2989"/>
    <w:rsid w:val="49E32D35"/>
    <w:rsid w:val="4A1277A3"/>
    <w:rsid w:val="4A8F5E22"/>
    <w:rsid w:val="4C276972"/>
    <w:rsid w:val="4C466C94"/>
    <w:rsid w:val="4C5B7215"/>
    <w:rsid w:val="4D73249A"/>
    <w:rsid w:val="4DFB6352"/>
    <w:rsid w:val="4E232D20"/>
    <w:rsid w:val="4EE91D9C"/>
    <w:rsid w:val="4F7E3B03"/>
    <w:rsid w:val="4FB41F35"/>
    <w:rsid w:val="501848CF"/>
    <w:rsid w:val="505770C8"/>
    <w:rsid w:val="50801AA0"/>
    <w:rsid w:val="516D2186"/>
    <w:rsid w:val="51A06085"/>
    <w:rsid w:val="520B5239"/>
    <w:rsid w:val="52351C24"/>
    <w:rsid w:val="529904DE"/>
    <w:rsid w:val="548349C9"/>
    <w:rsid w:val="5491577B"/>
    <w:rsid w:val="56382375"/>
    <w:rsid w:val="56D30E38"/>
    <w:rsid w:val="57176F02"/>
    <w:rsid w:val="57E44A2E"/>
    <w:rsid w:val="58782D8B"/>
    <w:rsid w:val="589C6BEB"/>
    <w:rsid w:val="58DD4A37"/>
    <w:rsid w:val="59D15398"/>
    <w:rsid w:val="5A670E91"/>
    <w:rsid w:val="5AE10BB9"/>
    <w:rsid w:val="5AFE65AE"/>
    <w:rsid w:val="5B7B3F8B"/>
    <w:rsid w:val="5D5512ED"/>
    <w:rsid w:val="5D9A56C3"/>
    <w:rsid w:val="5DEF4160"/>
    <w:rsid w:val="5E006EB1"/>
    <w:rsid w:val="5EA01B6D"/>
    <w:rsid w:val="5EC057CC"/>
    <w:rsid w:val="5EC70635"/>
    <w:rsid w:val="606A48D8"/>
    <w:rsid w:val="60B30F76"/>
    <w:rsid w:val="60D76A49"/>
    <w:rsid w:val="60FC519A"/>
    <w:rsid w:val="618B32D4"/>
    <w:rsid w:val="62105B23"/>
    <w:rsid w:val="626A32DB"/>
    <w:rsid w:val="62967221"/>
    <w:rsid w:val="62E16E95"/>
    <w:rsid w:val="64AC31D6"/>
    <w:rsid w:val="650A72A0"/>
    <w:rsid w:val="65191596"/>
    <w:rsid w:val="6723497B"/>
    <w:rsid w:val="67643CA0"/>
    <w:rsid w:val="67965142"/>
    <w:rsid w:val="689B6077"/>
    <w:rsid w:val="68C3128A"/>
    <w:rsid w:val="68CF175C"/>
    <w:rsid w:val="68D9357A"/>
    <w:rsid w:val="6A244D5B"/>
    <w:rsid w:val="6A2E79D8"/>
    <w:rsid w:val="6A544DF7"/>
    <w:rsid w:val="6A655694"/>
    <w:rsid w:val="6AFA2FC0"/>
    <w:rsid w:val="6B781A16"/>
    <w:rsid w:val="6B8329FE"/>
    <w:rsid w:val="6C012B2F"/>
    <w:rsid w:val="6C1254A7"/>
    <w:rsid w:val="6D752CBB"/>
    <w:rsid w:val="6DBE736B"/>
    <w:rsid w:val="6E070B53"/>
    <w:rsid w:val="6FD362C4"/>
    <w:rsid w:val="706D32D8"/>
    <w:rsid w:val="70DF4B5E"/>
    <w:rsid w:val="7141612A"/>
    <w:rsid w:val="716943CF"/>
    <w:rsid w:val="72764DDD"/>
    <w:rsid w:val="72921205"/>
    <w:rsid w:val="72CB77F1"/>
    <w:rsid w:val="7375201E"/>
    <w:rsid w:val="73F76C73"/>
    <w:rsid w:val="749667BC"/>
    <w:rsid w:val="74DD23E1"/>
    <w:rsid w:val="75295853"/>
    <w:rsid w:val="75DA0CAB"/>
    <w:rsid w:val="768F5FAD"/>
    <w:rsid w:val="76A449BE"/>
    <w:rsid w:val="78C8581A"/>
    <w:rsid w:val="7A776A7F"/>
    <w:rsid w:val="7A861051"/>
    <w:rsid w:val="7B133B27"/>
    <w:rsid w:val="7B57087E"/>
    <w:rsid w:val="7B591573"/>
    <w:rsid w:val="7B6627E2"/>
    <w:rsid w:val="7BB906BF"/>
    <w:rsid w:val="7BD57D89"/>
    <w:rsid w:val="7C437E89"/>
    <w:rsid w:val="7C7378D9"/>
    <w:rsid w:val="7C8B3AC1"/>
    <w:rsid w:val="7CD25682"/>
    <w:rsid w:val="7D2A5C51"/>
    <w:rsid w:val="7D386F14"/>
    <w:rsid w:val="7D3C615A"/>
    <w:rsid w:val="7D524706"/>
    <w:rsid w:val="7D9A72EE"/>
    <w:rsid w:val="7DDA27CE"/>
    <w:rsid w:val="7E162BE9"/>
    <w:rsid w:val="7E2117BD"/>
    <w:rsid w:val="7E7F1651"/>
    <w:rsid w:val="7ED20D09"/>
    <w:rsid w:val="7F1B26B0"/>
    <w:rsid w:val="7F825908"/>
    <w:rsid w:val="7F9578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99"/>
    <w:pPr>
      <w:widowControl w:val="0"/>
      <w:spacing w:after="120"/>
      <w:jc w:val="both"/>
    </w:pPr>
    <w:rPr>
      <w:rFonts w:ascii="Calibri" w:hAnsi="Calibri" w:eastAsia="宋体" w:cs="Times New Roman"/>
      <w:kern w:val="2"/>
      <w:sz w:val="21"/>
      <w:szCs w:val="24"/>
      <w:lang w:val="en-US" w:eastAsia="zh-CN" w:bidi="ar-SA"/>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5">
    <w:name w:val="Body Text First Indent"/>
    <w:basedOn w:val="2"/>
    <w:qFormat/>
    <w:uiPriority w:val="99"/>
    <w:pPr>
      <w:widowControl w:val="0"/>
      <w:spacing w:after="120" w:line="560" w:lineRule="exact"/>
      <w:ind w:firstLine="420" w:firstLineChars="100"/>
      <w:jc w:val="both"/>
    </w:pPr>
    <w:rPr>
      <w:rFonts w:ascii="Calibri" w:hAnsi="Calibri" w:eastAsia="仿宋_GB2312" w:cs="Times New Roman"/>
      <w:kern w:val="0"/>
      <w:sz w:val="20"/>
      <w:szCs w:val="20"/>
      <w:lang w:val="en-US" w:eastAsia="zh-CN" w:bidi="ar-SA"/>
    </w:rPr>
  </w:style>
  <w:style w:type="character" w:styleId="8">
    <w:name w:val="Strong"/>
    <w:basedOn w:val="7"/>
    <w:qFormat/>
    <w:uiPriority w:val="0"/>
    <w:rPr>
      <w:b/>
    </w:rPr>
  </w:style>
  <w:style w:type="character" w:styleId="9">
    <w:name w:val="page number"/>
    <w:basedOn w:val="7"/>
    <w:qFormat/>
    <w:uiPriority w:val="0"/>
  </w:style>
  <w:style w:type="character" w:styleId="10">
    <w:name w:val="Hyperlink"/>
    <w:basedOn w:val="7"/>
    <w:qFormat/>
    <w:uiPriority w:val="0"/>
    <w:rPr>
      <w:color w:val="0563C1" w:themeColor="hyperlink"/>
      <w:u w:val="single"/>
      <w14:textFill>
        <w14:solidFill>
          <w14:schemeClr w14:val="hlink"/>
        </w14:solidFill>
      </w14:textFill>
    </w:rPr>
  </w:style>
  <w:style w:type="paragraph" w:customStyle="1" w:styleId="11">
    <w:name w:val="Char Char Char Char"/>
    <w:basedOn w:val="1"/>
    <w:qFormat/>
    <w:uiPriority w:val="0"/>
    <w:pPr>
      <w:spacing w:before="100" w:beforeAutospacing="1" w:after="100" w:afterAutospacing="1"/>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4034</Words>
  <Characters>4302</Characters>
  <Lines>0</Lines>
  <Paragraphs>0</Paragraphs>
  <TotalTime>2</TotalTime>
  <ScaleCrop>false</ScaleCrop>
  <LinksUpToDate>false</LinksUpToDate>
  <CharactersWithSpaces>4346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2022-11-22T02:08:00Z</dcterms:created>
  <dc:creator>Administrator</dc:creator>
  <cp:lastModifiedBy>Administrator</cp:lastModifiedBy>
  <cp:lastPrinted>2023-11-15T03:10:00Z</cp:lastPrinted>
  <dcterms:modified xsi:type="dcterms:W3CDTF">2023-11-15T03:30:44Z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5ED6F4F91B0A455894E529850F75BE2B</vt:lpwstr>
  </property>
</Properties>
</file>