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方正小标宋简体" w:eastAsia="方正小标宋简体" w:cs="宋体" w:hAnsiTheme="majorEastAsia"/>
          <w:bCs/>
          <w:color w:val="000000" w:themeColor="text1"/>
          <w:kern w:val="0"/>
          <w:sz w:val="44"/>
          <w:szCs w:val="44"/>
        </w:rPr>
      </w:pPr>
      <w:r>
        <w:rPr>
          <w:rFonts w:hint="eastAsia" w:ascii="方正小标宋简体" w:eastAsia="方正小标宋简体" w:cs="宋体" w:hAnsiTheme="majorEastAsia"/>
          <w:bCs/>
          <w:color w:val="000000" w:themeColor="text1"/>
          <w:kern w:val="0"/>
          <w:sz w:val="44"/>
          <w:szCs w:val="44"/>
        </w:rPr>
        <w:t>福建技术师范学院202</w:t>
      </w:r>
      <w:r>
        <w:rPr>
          <w:rFonts w:hint="eastAsia" w:ascii="方正小标宋简体" w:eastAsia="方正小标宋简体" w:cs="宋体" w:hAnsiTheme="majorEastAsia"/>
          <w:bCs/>
          <w:color w:val="000000" w:themeColor="text1"/>
          <w:kern w:val="0"/>
          <w:sz w:val="44"/>
          <w:szCs w:val="44"/>
          <w:lang w:val="en-US" w:eastAsia="zh-CN"/>
        </w:rPr>
        <w:t>1</w:t>
      </w:r>
      <w:r>
        <w:rPr>
          <w:rFonts w:hint="eastAsia" w:ascii="方正小标宋简体" w:eastAsia="方正小标宋简体" w:cs="宋体" w:hAnsiTheme="majorEastAsia"/>
          <w:bCs/>
          <w:color w:val="000000" w:themeColor="text1"/>
          <w:kern w:val="0"/>
          <w:sz w:val="44"/>
          <w:szCs w:val="44"/>
        </w:rPr>
        <w:t>-202</w:t>
      </w:r>
      <w:r>
        <w:rPr>
          <w:rFonts w:hint="eastAsia" w:ascii="方正小标宋简体" w:eastAsia="方正小标宋简体" w:cs="宋体" w:hAnsiTheme="majorEastAsia"/>
          <w:bCs/>
          <w:color w:val="000000" w:themeColor="text1"/>
          <w:kern w:val="0"/>
          <w:sz w:val="44"/>
          <w:szCs w:val="44"/>
          <w:lang w:val="en-US" w:eastAsia="zh-CN"/>
        </w:rPr>
        <w:t>2</w:t>
      </w:r>
      <w:r>
        <w:rPr>
          <w:rFonts w:hint="eastAsia" w:ascii="方正小标宋简体" w:eastAsia="方正小标宋简体" w:cs="宋体" w:hAnsiTheme="majorEastAsia"/>
          <w:bCs/>
          <w:color w:val="000000" w:themeColor="text1"/>
          <w:kern w:val="0"/>
          <w:sz w:val="44"/>
          <w:szCs w:val="44"/>
        </w:rPr>
        <w:t>学年</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方正小标宋简体" w:eastAsia="方正小标宋简体" w:cs="宋体"/>
          <w:color w:val="000000" w:themeColor="text1"/>
          <w:kern w:val="0"/>
          <w:sz w:val="44"/>
          <w:szCs w:val="44"/>
        </w:rPr>
      </w:pPr>
      <w:r>
        <w:rPr>
          <w:rFonts w:hint="eastAsia" w:ascii="方正小标宋简体" w:eastAsia="方正小标宋简体" w:cs="宋体" w:hAnsiTheme="majorEastAsia"/>
          <w:bCs/>
          <w:color w:val="000000" w:themeColor="text1"/>
          <w:kern w:val="0"/>
          <w:sz w:val="44"/>
          <w:szCs w:val="44"/>
        </w:rPr>
        <w:t>信息公开工作年度报告</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仿宋" w:hAnsi="仿宋" w:eastAsia="仿宋" w:cs="宋体"/>
          <w:color w:val="000000" w:themeColor="text1"/>
          <w:kern w:val="0"/>
          <w:sz w:val="32"/>
          <w:szCs w:val="32"/>
        </w:rPr>
      </w:pP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lang w:val="en-US" w:eastAsia="zh-CN" w:bidi="ar-SA"/>
        </w:rPr>
        <w:t>本报告根据《中华人民共和国政府信息公开条例》（国令第711号）、《高等学校信息公开办法》（教育部令第29号）等要求，结合2021—2022学年度我校信息公开工作开展情况编制而成。全文包括概述、主动公开情况、依申请公开和不予公开情况、对信息公开评议和举报情况、存在的主要问题和改进措施、信息公开事项清单等七个部分。其中所列数据的统计时间为2021年9 月1日至2022年8月31日。</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一、概述</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eastAsia" w:eastAsia="仿宋_GB2312"/>
          <w:color w:val="000000" w:themeColor="text1"/>
          <w:kern w:val="0"/>
          <w:sz w:val="32"/>
          <w:szCs w:val="32"/>
          <w:lang w:val="en-US" w:eastAsia="zh-CN"/>
        </w:rPr>
      </w:pPr>
      <w:r>
        <w:rPr>
          <w:rFonts w:hint="eastAsia" w:ascii="仿宋_GB2312" w:hAnsi="仿宋" w:eastAsia="仿宋_GB2312" w:cs="宋体"/>
          <w:color w:val="000000" w:themeColor="text1"/>
          <w:kern w:val="0"/>
          <w:sz w:val="32"/>
          <w:szCs w:val="32"/>
        </w:rPr>
        <w:t>202</w:t>
      </w:r>
      <w:r>
        <w:rPr>
          <w:rFonts w:hint="eastAsia" w:ascii="仿宋_GB2312" w:hAnsi="仿宋" w:eastAsia="仿宋_GB2312" w:cs="宋体"/>
          <w:color w:val="000000" w:themeColor="text1"/>
          <w:kern w:val="0"/>
          <w:sz w:val="32"/>
          <w:szCs w:val="32"/>
          <w:lang w:val="en-US" w:eastAsia="zh-CN"/>
        </w:rPr>
        <w:t>1</w:t>
      </w:r>
      <w:r>
        <w:rPr>
          <w:rFonts w:hint="eastAsia" w:ascii="仿宋_GB2312" w:hAnsi="仿宋" w:eastAsia="仿宋_GB2312" w:cs="宋体"/>
          <w:color w:val="000000" w:themeColor="text1"/>
          <w:kern w:val="0"/>
          <w:sz w:val="32"/>
          <w:szCs w:val="32"/>
        </w:rPr>
        <w:t>—202</w:t>
      </w:r>
      <w:r>
        <w:rPr>
          <w:rFonts w:hint="eastAsia" w:ascii="仿宋_GB2312" w:hAnsi="仿宋" w:eastAsia="仿宋_GB2312" w:cs="宋体"/>
          <w:color w:val="000000" w:themeColor="text1"/>
          <w:kern w:val="0"/>
          <w:sz w:val="32"/>
          <w:szCs w:val="32"/>
          <w:lang w:val="en-US" w:eastAsia="zh-CN"/>
        </w:rPr>
        <w:t>2</w:t>
      </w:r>
      <w:r>
        <w:rPr>
          <w:rFonts w:hint="eastAsia" w:ascii="仿宋_GB2312" w:hAnsi="仿宋" w:eastAsia="仿宋_GB2312" w:cs="宋体"/>
          <w:color w:val="000000" w:themeColor="text1"/>
          <w:kern w:val="0"/>
          <w:sz w:val="32"/>
          <w:szCs w:val="32"/>
        </w:rPr>
        <w:t>学年，我校</w:t>
      </w:r>
      <w:r>
        <w:rPr>
          <w:rFonts w:eastAsia="仿宋_GB2312"/>
          <w:color w:val="000000" w:themeColor="text1"/>
          <w:kern w:val="0"/>
          <w:sz w:val="32"/>
          <w:szCs w:val="32"/>
        </w:rPr>
        <w:t>坚持以习近平新时代中国特色社会主义思想为指导，</w:t>
      </w:r>
      <w:r>
        <w:rPr>
          <w:rFonts w:eastAsia="仿宋_GB2312" w:cs="Times New Roman"/>
          <w:color w:val="000000" w:themeColor="text1"/>
          <w:kern w:val="0"/>
          <w:sz w:val="32"/>
          <w:szCs w:val="32"/>
        </w:rPr>
        <w:t>紧紧围绕</w:t>
      </w:r>
      <w:r>
        <w:rPr>
          <w:rFonts w:hint="eastAsia" w:eastAsia="仿宋_GB2312" w:cs="Times New Roman"/>
          <w:color w:val="000000" w:themeColor="text1"/>
          <w:kern w:val="0"/>
          <w:sz w:val="32"/>
          <w:szCs w:val="32"/>
          <w:lang w:val="en-US" w:eastAsia="zh-CN"/>
        </w:rPr>
        <w:t>建设</w:t>
      </w:r>
      <w:r>
        <w:rPr>
          <w:rFonts w:hint="eastAsia" w:eastAsia="仿宋_GB2312" w:cs="Times New Roman"/>
          <w:color w:val="000000" w:themeColor="text1"/>
          <w:kern w:val="0"/>
          <w:sz w:val="32"/>
          <w:szCs w:val="32"/>
        </w:rPr>
        <w:t>特色鲜明的高水平技术师范院校</w:t>
      </w:r>
      <w:r>
        <w:rPr>
          <w:rFonts w:eastAsia="仿宋_GB2312" w:cs="Times New Roman"/>
          <w:color w:val="000000" w:themeColor="text1"/>
          <w:kern w:val="0"/>
          <w:sz w:val="32"/>
          <w:szCs w:val="32"/>
        </w:rPr>
        <w:t>目标，将信息公开作为建设法治校园和推进学校治理体系和治理能力现代化的有力抓手和重要内容，按照</w:t>
      </w:r>
      <w:r>
        <w:rPr>
          <w:rFonts w:eastAsia="仿宋_GB2312"/>
          <w:color w:val="000000" w:themeColor="text1"/>
          <w:kern w:val="0"/>
          <w:sz w:val="32"/>
          <w:szCs w:val="32"/>
        </w:rPr>
        <w:t>党中央、国务院关于政务公开工作的决策部署和教育部推进教育公开的总体安排，</w:t>
      </w:r>
      <w:r>
        <w:rPr>
          <w:rFonts w:hint="eastAsia" w:eastAsia="仿宋_GB2312"/>
          <w:color w:val="000000" w:themeColor="text1"/>
          <w:kern w:val="0"/>
          <w:sz w:val="32"/>
          <w:szCs w:val="32"/>
          <w:lang w:val="en-US" w:eastAsia="zh-CN"/>
        </w:rPr>
        <w:t>进一步强化信息公开机制、拓宽信息公开渠道、提高信息公开质量，扎实做好学校信息公开工作。</w:t>
      </w:r>
    </w:p>
    <w:p>
      <w:pPr>
        <w:keepNext w:val="0"/>
        <w:keepLines w:val="0"/>
        <w:pageBreakBefore w:val="0"/>
        <w:kinsoku/>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color w:val="000000" w:themeColor="text1"/>
          <w:kern w:val="0"/>
          <w:sz w:val="32"/>
          <w:szCs w:val="32"/>
          <w:lang w:val="en-US" w:eastAsia="zh-CN"/>
        </w:rPr>
      </w:pPr>
      <w:r>
        <w:rPr>
          <w:rFonts w:hint="eastAsia" w:ascii="楷体_GB2312" w:hAnsi="楷体_GB2312" w:eastAsia="楷体_GB2312" w:cs="楷体_GB2312"/>
          <w:color w:val="000000" w:themeColor="text1"/>
          <w:kern w:val="0"/>
          <w:sz w:val="32"/>
          <w:szCs w:val="32"/>
        </w:rPr>
        <w:t>（一）</w:t>
      </w:r>
      <w:r>
        <w:rPr>
          <w:rFonts w:hint="eastAsia" w:ascii="楷体_GB2312" w:hAnsi="楷体_GB2312" w:eastAsia="楷体_GB2312" w:cs="楷体_GB2312"/>
          <w:color w:val="000000" w:themeColor="text1"/>
          <w:kern w:val="0"/>
          <w:sz w:val="32"/>
          <w:szCs w:val="32"/>
          <w:lang w:val="en-US" w:eastAsia="zh-CN"/>
        </w:rPr>
        <w:t>强化</w:t>
      </w:r>
      <w:r>
        <w:rPr>
          <w:rFonts w:hint="eastAsia" w:ascii="楷体_GB2312" w:hAnsi="楷体_GB2312" w:eastAsia="楷体_GB2312" w:cs="楷体_GB2312"/>
          <w:color w:val="000000" w:themeColor="text1"/>
          <w:kern w:val="0"/>
          <w:sz w:val="32"/>
          <w:szCs w:val="32"/>
        </w:rPr>
        <w:t>工作机制</w:t>
      </w:r>
      <w:r>
        <w:rPr>
          <w:rFonts w:hint="eastAsia" w:ascii="楷体_GB2312" w:hAnsi="楷体_GB2312" w:eastAsia="楷体_GB2312" w:cs="楷体_GB2312"/>
          <w:color w:val="000000" w:themeColor="text1"/>
          <w:kern w:val="0"/>
          <w:sz w:val="32"/>
          <w:szCs w:val="32"/>
          <w:lang w:eastAsia="zh-CN"/>
        </w:rPr>
        <w:t>，</w:t>
      </w:r>
      <w:r>
        <w:rPr>
          <w:rFonts w:hint="eastAsia" w:ascii="楷体_GB2312" w:hAnsi="楷体_GB2312" w:eastAsia="楷体_GB2312" w:cs="楷体_GB2312"/>
          <w:color w:val="000000" w:themeColor="text1"/>
          <w:kern w:val="0"/>
          <w:sz w:val="32"/>
          <w:szCs w:val="32"/>
          <w:lang w:val="en-US" w:eastAsia="zh-CN"/>
        </w:rPr>
        <w:t>提升信息公开工作实效</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default" w:ascii="仿宋_GB2312" w:hAnsi="仿宋" w:eastAsia="仿宋_GB2312" w:cs="宋体"/>
          <w:color w:val="000000" w:themeColor="text1"/>
          <w:kern w:val="0"/>
          <w:sz w:val="32"/>
          <w:szCs w:val="32"/>
          <w:lang w:val="en-US"/>
        </w:rPr>
      </w:pPr>
      <w:r>
        <w:rPr>
          <w:rFonts w:hint="eastAsia" w:ascii="仿宋_GB2312" w:hAnsi="仿宋" w:eastAsia="仿宋_GB2312" w:cs="宋体"/>
          <w:color w:val="000000" w:themeColor="text1"/>
          <w:kern w:val="0"/>
          <w:sz w:val="32"/>
          <w:szCs w:val="32"/>
          <w:lang w:val="en-US" w:eastAsia="zh-CN"/>
        </w:rPr>
        <w:t>本学年</w:t>
      </w:r>
      <w:r>
        <w:rPr>
          <w:rFonts w:hint="eastAsia" w:ascii="仿宋_GB2312" w:hAnsi="仿宋" w:eastAsia="仿宋_GB2312" w:cs="宋体"/>
          <w:color w:val="000000" w:themeColor="text1"/>
          <w:kern w:val="0"/>
          <w:sz w:val="32"/>
          <w:szCs w:val="32"/>
        </w:rPr>
        <w:t>我校</w:t>
      </w:r>
      <w:r>
        <w:rPr>
          <w:rFonts w:hint="eastAsia" w:ascii="仿宋_GB2312" w:hAnsi="仿宋" w:eastAsia="仿宋_GB2312" w:cs="宋体"/>
          <w:color w:val="000000" w:themeColor="text1"/>
          <w:kern w:val="0"/>
          <w:sz w:val="32"/>
          <w:szCs w:val="32"/>
          <w:lang w:val="en-US" w:eastAsia="zh-CN"/>
        </w:rPr>
        <w:t>进一步强化由党政办公室统筹负责，各单位分工协作的信息公开工作机制，不断提升服务学校决策和发展的水平。以信息公开清单为基础，定期查缺补漏，依规及时向广大师生员工和社会公众公开各类办学信息，确保信息公开事项落实落细，将信息公开工作推向深入。</w:t>
      </w:r>
    </w:p>
    <w:p>
      <w:pPr>
        <w:keepNext w:val="0"/>
        <w:keepLines w:val="0"/>
        <w:pageBreakBefore w:val="0"/>
        <w:kinsoku/>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color w:val="000000" w:themeColor="text1"/>
          <w:kern w:val="0"/>
          <w:sz w:val="32"/>
          <w:szCs w:val="32"/>
          <w:lang w:val="en-US" w:eastAsia="zh-CN"/>
        </w:rPr>
      </w:pPr>
      <w:r>
        <w:rPr>
          <w:rFonts w:hint="eastAsia" w:ascii="楷体_GB2312" w:hAnsi="楷体_GB2312" w:eastAsia="楷体_GB2312" w:cs="楷体_GB2312"/>
          <w:color w:val="000000" w:themeColor="text1"/>
          <w:kern w:val="0"/>
          <w:sz w:val="32"/>
          <w:szCs w:val="32"/>
        </w:rPr>
        <w:t>（二）拓宽公开渠道</w:t>
      </w:r>
      <w:r>
        <w:rPr>
          <w:rFonts w:hint="eastAsia" w:ascii="楷体_GB2312" w:hAnsi="楷体_GB2312" w:eastAsia="楷体_GB2312" w:cs="楷体_GB2312"/>
          <w:color w:val="000000" w:themeColor="text1"/>
          <w:kern w:val="0"/>
          <w:sz w:val="32"/>
          <w:szCs w:val="32"/>
          <w:lang w:eastAsia="zh-CN"/>
        </w:rPr>
        <w:t>，</w:t>
      </w:r>
      <w:r>
        <w:rPr>
          <w:rFonts w:hint="eastAsia" w:ascii="楷体_GB2312" w:hAnsi="楷体_GB2312" w:eastAsia="楷体_GB2312" w:cs="楷体_GB2312"/>
          <w:color w:val="000000" w:themeColor="text1"/>
          <w:kern w:val="0"/>
          <w:sz w:val="32"/>
          <w:szCs w:val="32"/>
          <w:lang w:val="en-US" w:eastAsia="zh-CN"/>
        </w:rPr>
        <w:t>加大信息公开宣传力度</w:t>
      </w:r>
    </w:p>
    <w:p>
      <w:pPr>
        <w:keepNext w:val="0"/>
        <w:keepLines w:val="0"/>
        <w:pageBreakBefore w:val="0"/>
        <w:kinsoku/>
        <w:overflowPunct/>
        <w:topLinePunct w:val="0"/>
        <w:autoSpaceDE/>
        <w:autoSpaceDN/>
        <w:bidi w:val="0"/>
        <w:spacing w:line="560" w:lineRule="exact"/>
        <w:ind w:firstLine="640" w:firstLineChars="200"/>
        <w:jc w:val="both"/>
        <w:textAlignment w:val="auto"/>
        <w:rPr>
          <w:rFonts w:hint="default" w:eastAsia="仿宋_GB2312" w:cs="Times New Roman"/>
          <w:color w:val="000000" w:themeColor="text1"/>
          <w:kern w:val="0"/>
          <w:sz w:val="32"/>
          <w:szCs w:val="32"/>
          <w:lang w:val="en-US" w:eastAsia="zh-CN"/>
        </w:rPr>
      </w:pPr>
      <w:r>
        <w:rPr>
          <w:rFonts w:hint="eastAsia" w:eastAsia="仿宋_GB2312" w:cs="Times New Roman"/>
          <w:color w:val="000000" w:themeColor="text1"/>
          <w:kern w:val="0"/>
          <w:sz w:val="32"/>
          <w:szCs w:val="32"/>
          <w:lang w:val="en-US" w:eastAsia="zh-CN"/>
        </w:rPr>
        <w:t>通过设立校长信箱，开展“校领导接待日”“我与书记面对面”</w:t>
      </w:r>
      <w:r>
        <w:rPr>
          <w:rFonts w:hint="eastAsia" w:eastAsia="仿宋_GB2312" w:cs="Times New Roman"/>
          <w:color w:val="000000" w:themeColor="text1"/>
          <w:kern w:val="0"/>
          <w:sz w:val="32"/>
          <w:szCs w:val="32"/>
        </w:rPr>
        <w:t>“校长有约”</w:t>
      </w:r>
      <w:r>
        <w:rPr>
          <w:rFonts w:hint="eastAsia" w:eastAsia="仿宋_GB2312" w:cs="Times New Roman"/>
          <w:color w:val="000000" w:themeColor="text1"/>
          <w:kern w:val="0"/>
          <w:sz w:val="32"/>
          <w:szCs w:val="32"/>
          <w:lang w:val="en-US" w:eastAsia="zh-CN"/>
        </w:rPr>
        <w:t>等</w:t>
      </w:r>
      <w:r>
        <w:rPr>
          <w:rFonts w:hint="eastAsia" w:eastAsia="仿宋_GB2312" w:cs="Times New Roman"/>
          <w:color w:val="000000" w:themeColor="text1"/>
          <w:kern w:val="0"/>
          <w:sz w:val="32"/>
          <w:szCs w:val="32"/>
        </w:rPr>
        <w:t>活动</w:t>
      </w:r>
      <w:r>
        <w:rPr>
          <w:rFonts w:hint="eastAsia" w:eastAsia="仿宋_GB2312" w:cs="Times New Roman"/>
          <w:color w:val="000000" w:themeColor="text1"/>
          <w:kern w:val="0"/>
          <w:sz w:val="32"/>
          <w:szCs w:val="32"/>
          <w:lang w:eastAsia="zh-CN"/>
        </w:rPr>
        <w:t>，</w:t>
      </w:r>
      <w:r>
        <w:rPr>
          <w:rFonts w:hint="eastAsia" w:eastAsia="仿宋_GB2312" w:cs="Times New Roman"/>
          <w:color w:val="000000" w:themeColor="text1"/>
          <w:kern w:val="0"/>
          <w:sz w:val="32"/>
          <w:szCs w:val="32"/>
          <w:lang w:val="en-US" w:eastAsia="zh-CN"/>
        </w:rPr>
        <w:t>进一步了解广大师生的意见建议，及时有效地进行回应和处理，提高师生对学校各项举措的认同感和满意度。在学生宿舍楼、办公楼、</w:t>
      </w:r>
      <w:r>
        <w:rPr>
          <w:rFonts w:hint="eastAsia" w:ascii="仿宋_GB2312" w:hAnsi="仿宋_GB2312" w:eastAsia="仿宋_GB2312" w:cs="仿宋_GB2312"/>
          <w:color w:val="000000" w:themeColor="text1"/>
          <w:kern w:val="0"/>
          <w:sz w:val="32"/>
          <w:szCs w:val="32"/>
          <w:lang w:val="en-US" w:eastAsia="zh-CN"/>
        </w:rPr>
        <w:t>校园主干道等新增LED屏，学</w:t>
      </w:r>
      <w:r>
        <w:rPr>
          <w:rFonts w:hint="eastAsia" w:eastAsia="仿宋_GB2312" w:cs="Times New Roman"/>
          <w:color w:val="000000" w:themeColor="text1"/>
          <w:kern w:val="0"/>
          <w:sz w:val="32"/>
          <w:szCs w:val="32"/>
          <w:lang w:val="en-US" w:eastAsia="zh-CN"/>
        </w:rPr>
        <w:t>校网站增设“疫情防控”专栏，充分利用学校网站、官方微信等新媒体加大对师生和社会公众公开信息的宣传力度。</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color w:val="000000" w:themeColor="text1"/>
          <w:kern w:val="0"/>
          <w:sz w:val="32"/>
          <w:szCs w:val="32"/>
          <w:lang w:val="en-US" w:eastAsia="zh-CN"/>
        </w:rPr>
      </w:pPr>
      <w:r>
        <w:rPr>
          <w:rFonts w:hint="eastAsia" w:ascii="楷体_GB2312" w:hAnsi="楷体_GB2312" w:eastAsia="楷体_GB2312" w:cs="楷体_GB2312"/>
          <w:color w:val="000000" w:themeColor="text1"/>
          <w:kern w:val="0"/>
          <w:sz w:val="32"/>
          <w:szCs w:val="32"/>
          <w:lang w:val="en-US" w:eastAsia="zh-CN"/>
        </w:rPr>
        <w:t>（三）坚守保密底线，确保信息公开依法到位</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default" w:ascii="仿宋_GB2312" w:hAnsi="仿宋" w:eastAsia="仿宋_GB2312" w:cs="宋体"/>
          <w:color w:val="000000" w:themeColor="text1"/>
          <w:kern w:val="0"/>
          <w:sz w:val="32"/>
          <w:szCs w:val="32"/>
          <w:lang w:val="en-US" w:eastAsia="zh-CN"/>
        </w:rPr>
      </w:pPr>
      <w:r>
        <w:rPr>
          <w:rFonts w:hint="eastAsia" w:ascii="仿宋_GB2312" w:hAnsi="仿宋" w:eastAsia="仿宋_GB2312" w:cs="宋体"/>
          <w:color w:val="000000" w:themeColor="text1"/>
          <w:kern w:val="0"/>
          <w:sz w:val="32"/>
          <w:szCs w:val="32"/>
          <w:lang w:val="en-US" w:eastAsia="zh-CN"/>
        </w:rPr>
        <w:t>在信息公开工作中，我校认真贯彻执行《中华人民共和国保守国家秘密法》《教育部政府信息公开保密审查规范（试行）》等法律法规和文件要求，开展保密教育培训，组织观看《高校保密警示教育片》，妥善处理信息公开与保密的关系，切实做到该保密的决不失密泄密，确保涉密信息的安全性。</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二、主动公开情况</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color w:val="000000" w:themeColor="text1"/>
          <w:kern w:val="0"/>
          <w:sz w:val="32"/>
          <w:szCs w:val="32"/>
        </w:rPr>
      </w:pPr>
      <w:r>
        <w:rPr>
          <w:rFonts w:hint="eastAsia" w:ascii="楷体_GB2312" w:hAnsi="楷体_GB2312" w:eastAsia="楷体_GB2312" w:cs="楷体_GB2312"/>
          <w:color w:val="000000" w:themeColor="text1"/>
          <w:kern w:val="0"/>
          <w:sz w:val="32"/>
          <w:szCs w:val="32"/>
        </w:rPr>
        <w:t>（一）主动公开方式与途径</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我校信息公开工作以校园网公开为主，本学年学校网站共公开发布信息</w:t>
      </w:r>
      <w:r>
        <w:rPr>
          <w:rFonts w:hint="eastAsia" w:ascii="仿宋_GB2312" w:hAnsi="仿宋" w:eastAsia="仿宋_GB2312" w:cs="宋体"/>
          <w:color w:val="000000" w:themeColor="text1"/>
          <w:kern w:val="0"/>
          <w:sz w:val="32"/>
          <w:szCs w:val="32"/>
          <w:lang w:val="en-US" w:eastAsia="zh-CN"/>
        </w:rPr>
        <w:t>5412</w:t>
      </w:r>
      <w:r>
        <w:rPr>
          <w:rFonts w:hint="eastAsia" w:ascii="仿宋_GB2312" w:hAnsi="仿宋" w:eastAsia="仿宋_GB2312" w:cs="宋体"/>
          <w:color w:val="000000" w:themeColor="text1"/>
          <w:kern w:val="0"/>
          <w:sz w:val="32"/>
          <w:szCs w:val="32"/>
        </w:rPr>
        <w:t>条，其中主页面公开发布信息</w:t>
      </w:r>
      <w:r>
        <w:rPr>
          <w:rFonts w:hint="eastAsia" w:ascii="仿宋_GB2312" w:hAnsi="仿宋" w:eastAsia="仿宋_GB2312" w:cs="宋体"/>
          <w:color w:val="000000" w:themeColor="text1"/>
          <w:kern w:val="0"/>
          <w:sz w:val="32"/>
          <w:szCs w:val="32"/>
          <w:lang w:val="en-US" w:eastAsia="zh-CN"/>
        </w:rPr>
        <w:t>726</w:t>
      </w:r>
      <w:r>
        <w:rPr>
          <w:rFonts w:hint="eastAsia" w:ascii="仿宋_GB2312" w:hAnsi="仿宋" w:eastAsia="仿宋_GB2312" w:cs="宋体"/>
          <w:color w:val="000000" w:themeColor="text1"/>
          <w:kern w:val="0"/>
          <w:sz w:val="32"/>
          <w:szCs w:val="32"/>
        </w:rPr>
        <w:t>条。校报共出版</w:t>
      </w:r>
      <w:r>
        <w:rPr>
          <w:rFonts w:hint="eastAsia" w:ascii="仿宋_GB2312" w:hAnsi="仿宋" w:eastAsia="仿宋_GB2312" w:cs="宋体"/>
          <w:color w:val="000000" w:themeColor="text1"/>
          <w:kern w:val="0"/>
          <w:sz w:val="32"/>
          <w:szCs w:val="32"/>
          <w:lang w:val="en-US" w:eastAsia="zh-CN"/>
        </w:rPr>
        <w:t>10</w:t>
      </w:r>
      <w:r>
        <w:rPr>
          <w:rFonts w:hint="eastAsia" w:ascii="仿宋_GB2312" w:hAnsi="仿宋" w:eastAsia="仿宋_GB2312" w:cs="宋体"/>
          <w:color w:val="000000" w:themeColor="text1"/>
          <w:kern w:val="0"/>
          <w:sz w:val="32"/>
          <w:szCs w:val="32"/>
        </w:rPr>
        <w:t>期，每期印刷1500份，发放至</w:t>
      </w:r>
      <w:r>
        <w:rPr>
          <w:rFonts w:ascii="仿宋_GB2312" w:hAnsi="仿宋" w:eastAsia="仿宋_GB2312" w:cs="宋体"/>
          <w:color w:val="000000" w:themeColor="text1"/>
          <w:kern w:val="0"/>
          <w:sz w:val="32"/>
          <w:szCs w:val="32"/>
        </w:rPr>
        <w:t>学校师生、校友、兄弟院校</w:t>
      </w:r>
      <w:r>
        <w:rPr>
          <w:rFonts w:hint="eastAsia" w:ascii="仿宋_GB2312" w:hAnsi="仿宋" w:eastAsia="仿宋_GB2312" w:cs="宋体"/>
          <w:color w:val="000000" w:themeColor="text1"/>
          <w:kern w:val="0"/>
          <w:sz w:val="32"/>
          <w:szCs w:val="32"/>
        </w:rPr>
        <w:t>及</w:t>
      </w:r>
      <w:r>
        <w:rPr>
          <w:rFonts w:ascii="仿宋_GB2312" w:hAnsi="仿宋" w:eastAsia="仿宋_GB2312" w:cs="宋体"/>
          <w:color w:val="000000" w:themeColor="text1"/>
          <w:kern w:val="0"/>
          <w:sz w:val="32"/>
          <w:szCs w:val="32"/>
        </w:rPr>
        <w:t>有关单位</w:t>
      </w:r>
      <w:r>
        <w:rPr>
          <w:rFonts w:hint="eastAsia" w:ascii="仿宋_GB2312" w:hAnsi="仿宋" w:eastAsia="仿宋_GB2312" w:cs="宋体"/>
          <w:color w:val="000000" w:themeColor="text1"/>
          <w:kern w:val="0"/>
          <w:sz w:val="32"/>
          <w:szCs w:val="32"/>
        </w:rPr>
        <w:t>。</w:t>
      </w:r>
      <w:r>
        <w:rPr>
          <w:rFonts w:hint="eastAsia" w:ascii="仿宋_GB2312" w:hAnsi="仿宋" w:eastAsia="仿宋_GB2312" w:cs="宋体"/>
          <w:color w:val="000000" w:themeColor="text1"/>
          <w:kern w:val="0"/>
          <w:sz w:val="32"/>
          <w:szCs w:val="32"/>
          <w:lang w:val="en-US" w:eastAsia="zh-CN"/>
        </w:rPr>
        <w:t>截至2022年8月31日，</w:t>
      </w:r>
      <w:r>
        <w:rPr>
          <w:rFonts w:ascii="仿宋_GB2312" w:hAnsi="仿宋" w:eastAsia="仿宋_GB2312" w:cs="宋体"/>
          <w:color w:val="000000" w:themeColor="text1"/>
          <w:kern w:val="0"/>
          <w:sz w:val="32"/>
          <w:szCs w:val="32"/>
        </w:rPr>
        <w:t>微信公众号“</w:t>
      </w:r>
      <w:r>
        <w:rPr>
          <w:rFonts w:hint="eastAsia" w:ascii="仿宋_GB2312" w:hAnsi="仿宋" w:eastAsia="仿宋_GB2312" w:cs="宋体"/>
          <w:color w:val="000000" w:themeColor="text1"/>
          <w:kern w:val="0"/>
          <w:sz w:val="32"/>
          <w:szCs w:val="32"/>
        </w:rPr>
        <w:t>福建技术师范学院</w:t>
      </w:r>
      <w:r>
        <w:rPr>
          <w:rFonts w:ascii="仿宋_GB2312" w:hAnsi="仿宋" w:eastAsia="仿宋_GB2312" w:cs="宋体"/>
          <w:color w:val="000000" w:themeColor="text1"/>
          <w:kern w:val="0"/>
          <w:sz w:val="32"/>
          <w:szCs w:val="32"/>
        </w:rPr>
        <w:t>”</w:t>
      </w:r>
      <w:r>
        <w:rPr>
          <w:rFonts w:hint="eastAsia" w:ascii="仿宋_GB2312" w:hAnsi="仿宋" w:eastAsia="仿宋_GB2312" w:cs="宋体"/>
          <w:color w:val="000000" w:themeColor="text1"/>
          <w:kern w:val="0"/>
          <w:sz w:val="32"/>
          <w:szCs w:val="32"/>
          <w:lang w:val="en-US" w:eastAsia="zh-CN"/>
        </w:rPr>
        <w:t>关注</w:t>
      </w:r>
      <w:r>
        <w:rPr>
          <w:rFonts w:ascii="仿宋_GB2312" w:hAnsi="仿宋" w:eastAsia="仿宋_GB2312" w:cs="宋体"/>
          <w:color w:val="000000" w:themeColor="text1"/>
          <w:kern w:val="0"/>
          <w:sz w:val="32"/>
          <w:szCs w:val="32"/>
        </w:rPr>
        <w:t>用户量</w:t>
      </w:r>
      <w:r>
        <w:rPr>
          <w:rFonts w:hint="eastAsia" w:ascii="仿宋_GB2312" w:hAnsi="仿宋" w:eastAsia="仿宋_GB2312" w:cs="宋体"/>
          <w:color w:val="000000" w:themeColor="text1"/>
          <w:kern w:val="0"/>
          <w:sz w:val="32"/>
          <w:szCs w:val="32"/>
          <w:lang w:val="en-US" w:eastAsia="zh-CN"/>
        </w:rPr>
        <w:t>26063</w:t>
      </w:r>
      <w:r>
        <w:rPr>
          <w:rFonts w:ascii="仿宋_GB2312" w:hAnsi="仿宋" w:eastAsia="仿宋_GB2312" w:cs="宋体"/>
          <w:color w:val="000000" w:themeColor="text1"/>
          <w:kern w:val="0"/>
          <w:sz w:val="32"/>
          <w:szCs w:val="32"/>
        </w:rPr>
        <w:t>人，</w:t>
      </w:r>
      <w:r>
        <w:rPr>
          <w:rFonts w:hint="eastAsia" w:ascii="仿宋_GB2312" w:hAnsi="仿宋" w:eastAsia="仿宋_GB2312" w:cs="宋体"/>
          <w:color w:val="000000" w:themeColor="text1"/>
          <w:kern w:val="0"/>
          <w:sz w:val="32"/>
          <w:szCs w:val="32"/>
        </w:rPr>
        <w:t>本学年</w:t>
      </w:r>
      <w:r>
        <w:rPr>
          <w:rFonts w:hint="eastAsia" w:ascii="仿宋_GB2312" w:hAnsi="仿宋" w:eastAsia="仿宋_GB2312" w:cs="宋体"/>
          <w:color w:val="000000" w:themeColor="text1"/>
          <w:kern w:val="0"/>
          <w:sz w:val="32"/>
          <w:szCs w:val="32"/>
          <w:lang w:val="en-US" w:eastAsia="zh-CN"/>
        </w:rPr>
        <w:t>共</w:t>
      </w:r>
      <w:r>
        <w:rPr>
          <w:rFonts w:ascii="仿宋_GB2312" w:hAnsi="仿宋" w:eastAsia="仿宋_GB2312" w:cs="宋体"/>
          <w:color w:val="000000" w:themeColor="text1"/>
          <w:kern w:val="0"/>
          <w:sz w:val="32"/>
          <w:szCs w:val="32"/>
        </w:rPr>
        <w:t>发布信息</w:t>
      </w:r>
      <w:r>
        <w:rPr>
          <w:rFonts w:hint="eastAsia" w:ascii="仿宋_GB2312" w:hAnsi="仿宋" w:eastAsia="仿宋_GB2312" w:cs="宋体"/>
          <w:color w:val="000000" w:themeColor="text1"/>
          <w:kern w:val="0"/>
          <w:sz w:val="32"/>
          <w:szCs w:val="32"/>
          <w:lang w:val="en-US" w:eastAsia="zh-CN"/>
        </w:rPr>
        <w:t>528</w:t>
      </w:r>
      <w:r>
        <w:rPr>
          <w:rFonts w:ascii="仿宋_GB2312" w:hAnsi="仿宋" w:eastAsia="仿宋_GB2312" w:cs="宋体"/>
          <w:color w:val="000000" w:themeColor="text1"/>
          <w:kern w:val="0"/>
          <w:sz w:val="32"/>
          <w:szCs w:val="32"/>
        </w:rPr>
        <w:t>条。</w:t>
      </w:r>
      <w:r>
        <w:rPr>
          <w:rFonts w:hint="eastAsia" w:ascii="仿宋_GB2312" w:hAnsi="仿宋" w:eastAsia="仿宋_GB2312" w:cs="宋体"/>
          <w:color w:val="000000" w:themeColor="text1"/>
          <w:kern w:val="0"/>
          <w:sz w:val="32"/>
          <w:szCs w:val="32"/>
        </w:rPr>
        <w:t>另外，还通过公告栏、</w:t>
      </w:r>
      <w:r>
        <w:rPr>
          <w:rFonts w:hint="eastAsia" w:ascii="仿宋_GB2312" w:hAnsi="仿宋" w:eastAsia="仿宋_GB2312" w:cs="宋体"/>
          <w:color w:val="000000" w:themeColor="text1"/>
          <w:kern w:val="0"/>
          <w:sz w:val="32"/>
          <w:szCs w:val="32"/>
          <w:lang w:val="en-US" w:eastAsia="zh-CN"/>
        </w:rPr>
        <w:t>LED屏、</w:t>
      </w:r>
      <w:r>
        <w:rPr>
          <w:rFonts w:hint="eastAsia" w:ascii="仿宋_GB2312" w:hAnsi="仿宋" w:eastAsia="仿宋_GB2312" w:cs="宋体"/>
          <w:color w:val="000000" w:themeColor="text1"/>
          <w:kern w:val="0"/>
          <w:sz w:val="32"/>
          <w:szCs w:val="32"/>
        </w:rPr>
        <w:t>校内文件、OA办公平台、工作群、召开会议等途径公开有关信息。</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color w:val="000000" w:themeColor="text1"/>
          <w:kern w:val="0"/>
          <w:sz w:val="32"/>
          <w:szCs w:val="32"/>
        </w:rPr>
      </w:pPr>
      <w:r>
        <w:rPr>
          <w:rFonts w:hint="eastAsia" w:ascii="楷体_GB2312" w:hAnsi="楷体_GB2312" w:eastAsia="楷体_GB2312" w:cs="楷体_GB2312"/>
          <w:color w:val="000000" w:themeColor="text1"/>
          <w:kern w:val="0"/>
          <w:sz w:val="32"/>
          <w:szCs w:val="32"/>
        </w:rPr>
        <w:t>（二）重点领域信息公开情况</w:t>
      </w:r>
    </w:p>
    <w:p>
      <w:pPr>
        <w:keepNext w:val="0"/>
        <w:keepLines w:val="0"/>
        <w:pageBreakBefore w:val="0"/>
        <w:widowControl/>
        <w:kinsoku/>
        <w:overflowPunct/>
        <w:topLinePunct w:val="0"/>
        <w:autoSpaceDE/>
        <w:autoSpaceDN/>
        <w:bidi w:val="0"/>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 w:eastAsia="仿宋_GB2312" w:cs="宋体"/>
          <w:b/>
          <w:color w:val="000000" w:themeColor="text1"/>
          <w:kern w:val="0"/>
          <w:sz w:val="32"/>
          <w:szCs w:val="32"/>
        </w:rPr>
        <w:t>1.招生信息公开</w:t>
      </w:r>
      <w:bookmarkStart w:id="0" w:name="_GoBack"/>
      <w:bookmarkEnd w:id="0"/>
      <w:r>
        <w:rPr>
          <w:rFonts w:hint="eastAsia" w:ascii="仿宋_GB2312" w:hAnsi="仿宋" w:eastAsia="仿宋_GB2312" w:cs="宋体"/>
          <w:b/>
          <w:color w:val="000000" w:themeColor="text1"/>
          <w:kern w:val="0"/>
          <w:sz w:val="32"/>
          <w:szCs w:val="32"/>
        </w:rPr>
        <w:t>情况。</w:t>
      </w:r>
      <w:r>
        <w:rPr>
          <w:rFonts w:hint="eastAsia" w:ascii="仿宋_GB2312" w:hAnsi="仿宋_GB2312" w:eastAsia="仿宋_GB2312" w:cs="仿宋_GB2312"/>
          <w:sz w:val="32"/>
          <w:szCs w:val="32"/>
          <w:lang w:val="en-US" w:eastAsia="zh-CN"/>
        </w:rPr>
        <w:t>我校</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年招生章程及特殊类型招生办法，分批次、分科类招生计划</w:t>
      </w:r>
      <w:r>
        <w:rPr>
          <w:rFonts w:hint="eastAsia" w:ascii="仿宋_GB2312" w:hAnsi="仿宋_GB2312" w:eastAsia="仿宋_GB2312" w:cs="仿宋_GB2312"/>
          <w:sz w:val="32"/>
          <w:szCs w:val="32"/>
          <w:lang w:val="en-US" w:eastAsia="zh-CN"/>
        </w:rPr>
        <w:t>均</w:t>
      </w:r>
      <w:r>
        <w:rPr>
          <w:rFonts w:hint="eastAsia" w:ascii="仿宋_GB2312" w:hAnsi="仿宋_GB2312" w:eastAsia="仿宋_GB2312" w:cs="仿宋_GB2312"/>
          <w:sz w:val="32"/>
          <w:szCs w:val="32"/>
        </w:rPr>
        <w:t>在招生录取前通过学校招生网公布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每个批次录取结束后</w:t>
      </w:r>
      <w:r>
        <w:rPr>
          <w:rFonts w:hint="eastAsia" w:ascii="仿宋_GB2312" w:hAnsi="仿宋_GB2312" w:eastAsia="仿宋_GB2312" w:cs="仿宋_GB2312"/>
          <w:sz w:val="32"/>
          <w:szCs w:val="32"/>
          <w:lang w:val="en-US" w:eastAsia="zh-CN"/>
        </w:rPr>
        <w:t>及时</w:t>
      </w:r>
      <w:r>
        <w:rPr>
          <w:rFonts w:hint="eastAsia" w:ascii="仿宋_GB2312" w:hAnsi="仿宋_GB2312" w:eastAsia="仿宋_GB2312" w:cs="仿宋_GB2312"/>
          <w:sz w:val="32"/>
          <w:szCs w:val="32"/>
        </w:rPr>
        <w:t>在学校招生网公布分批次、分科类录取人数和录取最低分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招生咨询及考生申诉</w:t>
      </w:r>
      <w:r>
        <w:rPr>
          <w:rFonts w:hint="eastAsia" w:ascii="仿宋_GB2312" w:hAnsi="仿宋_GB2312" w:eastAsia="仿宋_GB2312" w:cs="仿宋_GB2312"/>
          <w:sz w:val="32"/>
          <w:szCs w:val="32"/>
          <w:lang w:val="en-US" w:eastAsia="zh-CN"/>
        </w:rPr>
        <w:t>渠道</w:t>
      </w:r>
      <w:r>
        <w:rPr>
          <w:rFonts w:hint="eastAsia" w:ascii="仿宋_GB2312" w:hAnsi="仿宋_GB2312" w:eastAsia="仿宋_GB2312" w:cs="仿宋_GB2312"/>
          <w:sz w:val="32"/>
          <w:szCs w:val="32"/>
        </w:rPr>
        <w:t>、考生个人录取信息查询渠道</w:t>
      </w:r>
      <w:r>
        <w:rPr>
          <w:rFonts w:hint="eastAsia" w:ascii="仿宋_GB2312" w:hAnsi="仿宋_GB2312" w:eastAsia="仿宋_GB2312" w:cs="仿宋_GB2312"/>
          <w:sz w:val="32"/>
          <w:szCs w:val="32"/>
          <w:lang w:val="en-US" w:eastAsia="zh-CN"/>
        </w:rPr>
        <w:t>以及</w:t>
      </w:r>
      <w:r>
        <w:rPr>
          <w:rFonts w:hint="eastAsia" w:ascii="仿宋_GB2312" w:hAnsi="仿宋_GB2312" w:eastAsia="仿宋_GB2312" w:cs="仿宋_GB2312"/>
          <w:sz w:val="32"/>
          <w:szCs w:val="32"/>
        </w:rPr>
        <w:t>新生复查期间有关举报渠道畅通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招生咨询电话：0591-85260259、0591-85160192，监督电话：0591-85254343。</w:t>
      </w:r>
    </w:p>
    <w:p>
      <w:pPr>
        <w:keepNext w:val="0"/>
        <w:keepLines w:val="0"/>
        <w:pageBreakBefore w:val="0"/>
        <w:kinsoku/>
        <w:overflowPunct/>
        <w:topLinePunct w:val="0"/>
        <w:autoSpaceDE/>
        <w:autoSpaceDN/>
        <w:bidi w:val="0"/>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 w:eastAsia="仿宋_GB2312" w:cs="宋体"/>
          <w:b/>
          <w:color w:val="000000" w:themeColor="text1"/>
          <w:kern w:val="0"/>
          <w:sz w:val="32"/>
          <w:szCs w:val="32"/>
        </w:rPr>
        <w:t>2.财务</w:t>
      </w:r>
      <w:r>
        <w:rPr>
          <w:rFonts w:hint="eastAsia" w:ascii="仿宋_GB2312" w:hAnsi="仿宋" w:eastAsia="仿宋_GB2312" w:cs="宋体"/>
          <w:b/>
          <w:color w:val="000000" w:themeColor="text1"/>
          <w:kern w:val="0"/>
          <w:sz w:val="32"/>
          <w:szCs w:val="32"/>
          <w:lang w:eastAsia="zh-CN"/>
        </w:rPr>
        <w:t>、</w:t>
      </w:r>
      <w:r>
        <w:rPr>
          <w:rFonts w:hint="eastAsia" w:ascii="仿宋_GB2312" w:hAnsi="仿宋" w:eastAsia="仿宋_GB2312" w:cs="宋体"/>
          <w:b/>
          <w:color w:val="000000" w:themeColor="text1"/>
          <w:kern w:val="0"/>
          <w:sz w:val="32"/>
          <w:szCs w:val="32"/>
          <w:lang w:val="en-US" w:eastAsia="zh-CN"/>
        </w:rPr>
        <w:t>资产</w:t>
      </w:r>
      <w:r>
        <w:rPr>
          <w:rFonts w:hint="eastAsia" w:ascii="仿宋_GB2312" w:hAnsi="仿宋" w:eastAsia="仿宋_GB2312" w:cs="宋体"/>
          <w:b/>
          <w:color w:val="000000" w:themeColor="text1"/>
          <w:kern w:val="0"/>
          <w:sz w:val="32"/>
          <w:szCs w:val="32"/>
        </w:rPr>
        <w:t>信息公开情况。</w:t>
      </w:r>
      <w:r>
        <w:rPr>
          <w:rFonts w:hint="eastAsia" w:ascii="仿宋_GB2312" w:hAnsi="仿宋_GB2312" w:eastAsia="仿宋_GB2312" w:cs="仿宋_GB2312"/>
          <w:sz w:val="32"/>
          <w:szCs w:val="32"/>
          <w:lang w:val="en-US" w:eastAsia="zh-CN"/>
        </w:rPr>
        <w:t>我</w:t>
      </w:r>
      <w:r>
        <w:rPr>
          <w:rFonts w:hint="eastAsia" w:ascii="仿宋_GB2312" w:hAnsi="仿宋_GB2312" w:eastAsia="仿宋_GB2312" w:cs="仿宋_GB2312"/>
          <w:sz w:val="32"/>
          <w:szCs w:val="32"/>
        </w:rPr>
        <w:t>校严格执行教育收费公示制度，每学年初将收费项目及标准向社会、学生、家长等公布，并长期粘贴在财务处公告栏醒目位置予以公示，在新生入学通知书中</w:t>
      </w:r>
      <w:r>
        <w:rPr>
          <w:rFonts w:hint="eastAsia" w:ascii="仿宋_GB2312" w:hAnsi="仿宋_GB2312" w:eastAsia="仿宋_GB2312" w:cs="仿宋_GB2312"/>
          <w:sz w:val="32"/>
          <w:szCs w:val="32"/>
          <w:lang w:val="en-US" w:eastAsia="zh-CN"/>
        </w:rPr>
        <w:t>也</w:t>
      </w:r>
      <w:r>
        <w:rPr>
          <w:rFonts w:hint="eastAsia" w:ascii="仿宋_GB2312" w:hAnsi="仿宋_GB2312" w:eastAsia="仿宋_GB2312" w:cs="仿宋_GB2312"/>
          <w:sz w:val="32"/>
          <w:szCs w:val="32"/>
        </w:rPr>
        <w:t>有收费标准材料一并寄出。建立健全财务制度，加强财务管理，合理编制开支预算，</w:t>
      </w:r>
      <w:r>
        <w:rPr>
          <w:rFonts w:hint="eastAsia" w:ascii="仿宋_GB2312" w:hAnsi="仿宋_GB2312" w:eastAsia="仿宋_GB2312" w:cs="仿宋_GB2312"/>
          <w:sz w:val="32"/>
          <w:szCs w:val="32"/>
          <w:lang w:val="en-US" w:eastAsia="zh-CN"/>
        </w:rPr>
        <w:t>按照</w:t>
      </w:r>
      <w:r>
        <w:rPr>
          <w:rFonts w:hint="eastAsia" w:ascii="仿宋_GB2312" w:hAnsi="仿宋" w:eastAsia="仿宋_GB2312" w:cs="仿宋"/>
          <w:sz w:val="32"/>
          <w:szCs w:val="32"/>
        </w:rPr>
        <w:t>财政厅</w:t>
      </w:r>
      <w:r>
        <w:rPr>
          <w:rFonts w:hint="eastAsia" w:ascii="仿宋_GB2312" w:hAnsi="仿宋_GB2312" w:eastAsia="仿宋_GB2312" w:cs="仿宋_GB2312"/>
          <w:sz w:val="32"/>
          <w:szCs w:val="32"/>
        </w:rPr>
        <w:t>要求做好决算数据上报和决算公开工作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继续实行学校定期公示制度，预防各种违法、违纪、违规行为的发生，有效控制乱收费行为的发生。</w:t>
      </w:r>
    </w:p>
    <w:p>
      <w:pPr>
        <w:keepNext w:val="0"/>
        <w:keepLines w:val="0"/>
        <w:pageBreakBefore w:val="0"/>
        <w:kinsoku/>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招投标</w:t>
      </w:r>
      <w:r>
        <w:rPr>
          <w:rFonts w:hint="eastAsia" w:ascii="仿宋_GB2312" w:hAnsi="仿宋_GB2312" w:eastAsia="仿宋_GB2312" w:cs="仿宋_GB2312"/>
          <w:sz w:val="32"/>
          <w:szCs w:val="32"/>
        </w:rPr>
        <w:t>工作方面，根据福建省政府采购要求，</w:t>
      </w:r>
      <w:r>
        <w:rPr>
          <w:rFonts w:hint="eastAsia" w:ascii="仿宋_GB2312" w:hAnsi="仿宋_GB2312" w:eastAsia="仿宋_GB2312" w:cs="仿宋_GB2312"/>
          <w:sz w:val="32"/>
          <w:szCs w:val="32"/>
          <w:lang w:val="en-US" w:eastAsia="zh-CN"/>
        </w:rPr>
        <w:t>货物采购</w:t>
      </w:r>
      <w:r>
        <w:rPr>
          <w:rFonts w:hint="eastAsia" w:ascii="仿宋_GB2312" w:hAnsi="仿宋_GB2312" w:eastAsia="仿宋_GB2312" w:cs="仿宋_GB2312"/>
          <w:sz w:val="32"/>
          <w:szCs w:val="32"/>
        </w:rPr>
        <w:t>招投标相关信息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包括意向公开、招标文件、中标公告等均及时准确</w:t>
      </w:r>
      <w:r>
        <w:rPr>
          <w:rFonts w:hint="eastAsia" w:ascii="仿宋_GB2312" w:hAnsi="仿宋_GB2312" w:eastAsia="仿宋_GB2312" w:cs="仿宋_GB2312"/>
          <w:sz w:val="32"/>
          <w:szCs w:val="32"/>
          <w:lang w:val="en-US" w:eastAsia="zh-CN"/>
        </w:rPr>
        <w:t>地通过</w:t>
      </w:r>
      <w:r>
        <w:rPr>
          <w:rFonts w:hint="eastAsia" w:ascii="仿宋_GB2312" w:hAnsi="仿宋_GB2312" w:eastAsia="仿宋_GB2312" w:cs="仿宋_GB2312"/>
          <w:sz w:val="32"/>
          <w:szCs w:val="32"/>
        </w:rPr>
        <w:t>福建省政府采购网或校园网等各类渠道公开。根据《中华人民共和国政府采购法实施条例》《中华人民共和国招标投标法》《福建省招标投标条例》等有关法律法规，我校达到规定数额的林联</w:t>
      </w:r>
      <w:r>
        <w:rPr>
          <w:rFonts w:hint="eastAsia" w:ascii="仿宋_GB2312" w:hAnsi="仿宋_GB2312" w:eastAsia="仿宋_GB2312" w:cs="仿宋_GB2312"/>
          <w:sz w:val="32"/>
          <w:szCs w:val="32"/>
          <w:lang w:val="en-US" w:eastAsia="zh-CN"/>
        </w:rPr>
        <w:t>兴</w:t>
      </w:r>
      <w:r>
        <w:rPr>
          <w:rFonts w:hint="eastAsia" w:ascii="仿宋_GB2312" w:hAnsi="仿宋_GB2312" w:eastAsia="仿宋_GB2312" w:cs="仿宋_GB2312"/>
          <w:sz w:val="32"/>
          <w:szCs w:val="32"/>
        </w:rPr>
        <w:t>科技楼</w:t>
      </w:r>
      <w:r>
        <w:rPr>
          <w:rFonts w:hint="eastAsia" w:ascii="仿宋_GB2312" w:hAnsi="仿宋_GB2312" w:eastAsia="仿宋_GB2312" w:cs="仿宋_GB2312"/>
          <w:sz w:val="32"/>
          <w:szCs w:val="32"/>
          <w:lang w:val="en-US" w:eastAsia="zh-CN"/>
        </w:rPr>
        <w:t>项目（施工）及校园扩征A区建设项目(学生宿舍楼工程总承包)</w:t>
      </w:r>
      <w:r>
        <w:rPr>
          <w:rFonts w:hint="eastAsia" w:ascii="仿宋_GB2312" w:hAnsi="仿宋_GB2312" w:eastAsia="仿宋_GB2312" w:cs="仿宋_GB2312"/>
          <w:sz w:val="32"/>
          <w:szCs w:val="32"/>
        </w:rPr>
        <w:t>，按要求</w:t>
      </w:r>
      <w:r>
        <w:rPr>
          <w:rFonts w:hint="eastAsia" w:ascii="仿宋_GB2312" w:hAnsi="仿宋_GB2312" w:eastAsia="仿宋_GB2312" w:cs="仿宋_GB2312"/>
          <w:sz w:val="32"/>
          <w:szCs w:val="32"/>
          <w:lang w:val="en-US" w:eastAsia="zh-CN"/>
        </w:rPr>
        <w:t>分别通过</w:t>
      </w:r>
      <w:r>
        <w:rPr>
          <w:rFonts w:hint="eastAsia" w:ascii="仿宋_GB2312" w:hAnsi="仿宋_GB2312" w:eastAsia="仿宋_GB2312" w:cs="仿宋_GB2312"/>
          <w:sz w:val="32"/>
          <w:szCs w:val="32"/>
        </w:rPr>
        <w:t>福清</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建设工程电子招投标</w:t>
      </w:r>
      <w:r>
        <w:rPr>
          <w:rFonts w:hint="eastAsia" w:ascii="仿宋_GB2312" w:hAnsi="仿宋_GB2312" w:eastAsia="仿宋_GB2312" w:cs="仿宋_GB2312"/>
          <w:sz w:val="32"/>
          <w:szCs w:val="32"/>
          <w:lang w:val="en-US" w:eastAsia="zh-CN"/>
        </w:rPr>
        <w:t>交易</w:t>
      </w:r>
      <w:r>
        <w:rPr>
          <w:rFonts w:hint="eastAsia" w:ascii="仿宋_GB2312" w:hAnsi="仿宋_GB2312" w:eastAsia="仿宋_GB2312" w:cs="仿宋_GB2312"/>
          <w:sz w:val="32"/>
          <w:szCs w:val="32"/>
        </w:rPr>
        <w:t>平台</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福州</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建设工程电子招投标交易平台及时向社会公开</w:t>
      </w:r>
      <w:r>
        <w:rPr>
          <w:rFonts w:hint="eastAsia" w:ascii="仿宋_GB2312" w:hAnsi="仿宋_GB2312" w:eastAsia="仿宋_GB2312" w:cs="仿宋_GB2312"/>
          <w:sz w:val="32"/>
          <w:szCs w:val="32"/>
          <w:lang w:val="en-US" w:eastAsia="zh-CN"/>
        </w:rPr>
        <w:t>招投标</w:t>
      </w:r>
      <w:r>
        <w:rPr>
          <w:rFonts w:hint="eastAsia" w:ascii="仿宋_GB2312" w:hAnsi="仿宋_GB2312" w:eastAsia="仿宋_GB2312" w:cs="仿宋_GB2312"/>
          <w:sz w:val="32"/>
          <w:szCs w:val="32"/>
        </w:rPr>
        <w:t>信息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5-400万元的工程项目</w:t>
      </w:r>
      <w:r>
        <w:rPr>
          <w:rFonts w:hint="eastAsia" w:ascii="仿宋_GB2312" w:hAnsi="仿宋_GB2312" w:eastAsia="仿宋_GB2312" w:cs="仿宋_GB2312"/>
          <w:sz w:val="32"/>
          <w:szCs w:val="32"/>
          <w:lang w:val="en-US" w:eastAsia="zh-CN"/>
        </w:rPr>
        <w:t>从</w:t>
      </w:r>
      <w:r>
        <w:rPr>
          <w:rFonts w:hint="eastAsia" w:ascii="仿宋_GB2312" w:hAnsi="仿宋_GB2312" w:eastAsia="仿宋_GB2312" w:cs="仿宋_GB2312"/>
          <w:sz w:val="32"/>
          <w:szCs w:val="32"/>
        </w:rPr>
        <w:t>福清市住建局提供的最近季度建设工程单位入围库中随机抽取</w:t>
      </w:r>
      <w:r>
        <w:rPr>
          <w:rFonts w:hint="eastAsia" w:ascii="仿宋_GB2312" w:hAnsi="仿宋_GB2312" w:eastAsia="仿宋_GB2312" w:cs="仿宋_GB2312"/>
          <w:sz w:val="32"/>
          <w:szCs w:val="32"/>
          <w:lang w:val="en-US" w:eastAsia="zh-CN"/>
        </w:rPr>
        <w:t>产生中标商</w:t>
      </w:r>
      <w:r>
        <w:rPr>
          <w:rFonts w:hint="eastAsia" w:ascii="仿宋_GB2312" w:hAnsi="仿宋_GB2312" w:eastAsia="仿宋_GB2312" w:cs="仿宋_GB2312"/>
          <w:sz w:val="32"/>
          <w:szCs w:val="32"/>
        </w:rPr>
        <w:t>，中标公告信息在校园网上进行公示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接受社会监督</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spacing w:line="560" w:lineRule="exact"/>
        <w:ind w:firstLine="640" w:firstLineChars="200"/>
        <w:jc w:val="both"/>
        <w:textAlignment w:val="auto"/>
        <w:rPr>
          <w:rFonts w:hint="default" w:eastAsia="仿宋_GB2312"/>
          <w:lang w:val="en-US" w:eastAsia="zh-CN"/>
        </w:rPr>
      </w:pPr>
      <w:r>
        <w:rPr>
          <w:rFonts w:hint="eastAsia" w:ascii="仿宋_GB2312" w:hAnsi="仿宋_GB2312" w:eastAsia="仿宋_GB2312" w:cs="仿宋_GB2312"/>
          <w:sz w:val="32"/>
          <w:szCs w:val="32"/>
          <w:lang w:val="en-US" w:eastAsia="zh-CN"/>
        </w:rPr>
        <w:t>资产管理工作方面，本学年通过福建</w:t>
      </w:r>
      <w:r>
        <w:rPr>
          <w:rFonts w:hint="eastAsia" w:ascii="仿宋_GB2312" w:hAnsi="仿宋_GB2312" w:eastAsia="仿宋_GB2312" w:cs="仿宋_GB2312"/>
          <w:color w:val="auto"/>
          <w:sz w:val="32"/>
          <w:szCs w:val="32"/>
        </w:rPr>
        <w:t>省产权交易中心</w:t>
      </w:r>
      <w:r>
        <w:rPr>
          <w:rFonts w:hint="eastAsia" w:ascii="仿宋_GB2312" w:hAnsi="仿宋_GB2312" w:eastAsia="仿宋_GB2312" w:cs="仿宋_GB2312"/>
          <w:color w:val="auto"/>
          <w:sz w:val="32"/>
          <w:szCs w:val="32"/>
          <w:lang w:val="en-US" w:eastAsia="zh-CN"/>
        </w:rPr>
        <w:t>进行4项公开招租</w:t>
      </w:r>
      <w:r>
        <w:rPr>
          <w:rFonts w:hint="eastAsia" w:ascii="仿宋_GB2312" w:hAnsi="仿宋_GB2312" w:eastAsia="仿宋_GB2312" w:cs="仿宋_GB2312"/>
          <w:sz w:val="32"/>
          <w:szCs w:val="32"/>
          <w:lang w:val="en-US" w:eastAsia="zh-CN"/>
        </w:rPr>
        <w:t>，包括</w:t>
      </w:r>
      <w:r>
        <w:rPr>
          <w:rFonts w:hint="eastAsia" w:ascii="仿宋_GB2312" w:hAnsi="仿宋_GB2312" w:eastAsia="仿宋_GB2312" w:cs="仿宋_GB2312"/>
          <w:sz w:val="32"/>
          <w:szCs w:val="32"/>
        </w:rPr>
        <w:t>则徐公寓2-3号楼一层店面招租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石竹山校区学生公寓42号楼一层房产</w:t>
      </w:r>
      <w:r>
        <w:rPr>
          <w:rFonts w:hint="eastAsia" w:ascii="仿宋_GB2312" w:hAnsi="仿宋_GB2312" w:eastAsia="仿宋_GB2312" w:cs="仿宋_GB2312"/>
          <w:sz w:val="32"/>
          <w:szCs w:val="32"/>
          <w:lang w:val="en-US" w:eastAsia="zh-CN"/>
        </w:rPr>
        <w:t>招租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向高园综合楼一层店面和向高园学生公寓1</w:t>
      </w:r>
      <w:r>
        <w:rPr>
          <w:rFonts w:hint="eastAsia" w:ascii="仿宋_GB2312" w:hAnsi="仿宋_GB2312" w:eastAsia="仿宋_GB2312" w:cs="仿宋_GB2312"/>
          <w:sz w:val="32"/>
          <w:szCs w:val="32"/>
          <w:lang w:val="en-US" w:eastAsia="zh-CN"/>
        </w:rPr>
        <w:t>号楼</w:t>
      </w:r>
      <w:r>
        <w:rPr>
          <w:rFonts w:hint="eastAsia" w:ascii="仿宋_GB2312" w:hAnsi="仿宋_GB2312" w:eastAsia="仿宋_GB2312" w:cs="仿宋_GB2312"/>
          <w:sz w:val="32"/>
          <w:szCs w:val="32"/>
        </w:rPr>
        <w:t>110场地整体招租</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则徐园公寓1-2号楼1-2层场地</w:t>
      </w:r>
      <w:r>
        <w:rPr>
          <w:rFonts w:hint="eastAsia" w:ascii="仿宋_GB2312" w:hAnsi="仿宋_GB2312" w:eastAsia="仿宋_GB2312" w:cs="仿宋_GB2312"/>
          <w:sz w:val="32"/>
          <w:szCs w:val="32"/>
          <w:lang w:val="en-US" w:eastAsia="zh-CN"/>
        </w:rPr>
        <w:t>招租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同时在资产管理处</w:t>
      </w:r>
      <w:r>
        <w:rPr>
          <w:rFonts w:hint="eastAsia" w:ascii="仿宋_GB2312" w:hAnsi="仿宋_GB2312" w:eastAsia="仿宋_GB2312" w:cs="仿宋_GB2312"/>
          <w:color w:val="auto"/>
          <w:sz w:val="32"/>
          <w:szCs w:val="32"/>
        </w:rPr>
        <w:t>网站</w:t>
      </w:r>
      <w:r>
        <w:rPr>
          <w:rFonts w:hint="eastAsia" w:ascii="仿宋_GB2312" w:hAnsi="仿宋_GB2312" w:eastAsia="仿宋_GB2312" w:cs="仿宋_GB2312"/>
          <w:color w:val="auto"/>
          <w:sz w:val="32"/>
          <w:szCs w:val="32"/>
          <w:lang w:eastAsia="zh-CN"/>
        </w:rPr>
        <w:t>主动</w:t>
      </w:r>
      <w:r>
        <w:rPr>
          <w:rFonts w:hint="eastAsia" w:ascii="仿宋_GB2312" w:hAnsi="仿宋_GB2312" w:eastAsia="仿宋_GB2312" w:cs="仿宋_GB2312"/>
          <w:color w:val="auto"/>
          <w:sz w:val="32"/>
          <w:szCs w:val="32"/>
        </w:rPr>
        <w:t>公开公示学校公租房配租信息、福清市公租房配租信息等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共</w:t>
      </w:r>
      <w:r>
        <w:rPr>
          <w:rFonts w:hint="eastAsia" w:ascii="仿宋_GB2312" w:hAnsi="仿宋_GB2312" w:eastAsia="仿宋_GB2312" w:cs="仿宋_GB2312"/>
          <w:color w:val="auto"/>
          <w:sz w:val="32"/>
          <w:szCs w:val="32"/>
        </w:rPr>
        <w:t>办理4人次福清市公租房配租事宜。</w:t>
      </w:r>
    </w:p>
    <w:p>
      <w:pPr>
        <w:keepNext w:val="0"/>
        <w:keepLines w:val="0"/>
        <w:pageBreakBefore w:val="0"/>
        <w:kinsoku/>
        <w:overflowPunct/>
        <w:topLinePunct w:val="0"/>
        <w:autoSpaceDE/>
        <w:autoSpaceDN/>
        <w:bidi w:val="0"/>
        <w:spacing w:line="560" w:lineRule="exact"/>
        <w:ind w:firstLine="643" w:firstLineChars="200"/>
        <w:jc w:val="both"/>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 w:eastAsia="仿宋_GB2312" w:cs="宋体"/>
          <w:b/>
          <w:color w:val="000000" w:themeColor="text1"/>
          <w:kern w:val="0"/>
          <w:sz w:val="32"/>
          <w:szCs w:val="32"/>
          <w:lang w:val="en-US" w:eastAsia="zh-CN"/>
        </w:rPr>
        <w:t>3.组织、</w:t>
      </w:r>
      <w:r>
        <w:rPr>
          <w:rFonts w:hint="eastAsia" w:ascii="仿宋_GB2312" w:hAnsi="仿宋" w:eastAsia="仿宋_GB2312" w:cs="宋体"/>
          <w:b/>
          <w:color w:val="000000" w:themeColor="text1"/>
          <w:kern w:val="0"/>
          <w:sz w:val="32"/>
          <w:szCs w:val="32"/>
        </w:rPr>
        <w:t>人事信息公开情况。</w:t>
      </w:r>
      <w:r>
        <w:rPr>
          <w:rFonts w:hint="eastAsia" w:ascii="仿宋_GB2312" w:hAnsi="仿宋_GB2312" w:eastAsia="仿宋_GB2312" w:cs="仿宋_GB2312"/>
          <w:color w:val="000000" w:themeColor="text1"/>
          <w:sz w:val="32"/>
          <w:szCs w:val="32"/>
          <w:lang w:val="en-US" w:eastAsia="zh-CN"/>
        </w:rPr>
        <w:t>组织工作方面，</w:t>
      </w:r>
      <w:r>
        <w:rPr>
          <w:rFonts w:hint="eastAsia" w:ascii="仿宋_GB2312" w:hAnsi="仿宋_GB2312" w:eastAsia="仿宋_GB2312" w:cs="仿宋_GB2312"/>
          <w:color w:val="000000" w:themeColor="text1"/>
          <w:sz w:val="32"/>
          <w:szCs w:val="32"/>
        </w:rPr>
        <w:t>自2021年8月份</w:t>
      </w:r>
      <w:r>
        <w:rPr>
          <w:rFonts w:hint="eastAsia" w:ascii="仿宋_GB2312" w:hAnsi="仿宋_GB2312" w:eastAsia="仿宋_GB2312" w:cs="仿宋_GB2312"/>
          <w:color w:val="000000" w:themeColor="text1"/>
          <w:sz w:val="32"/>
          <w:szCs w:val="32"/>
          <w:lang w:eastAsia="zh-CN"/>
        </w:rPr>
        <w:t>省委编委会批复学校机构编制事项后，</w:t>
      </w:r>
      <w:r>
        <w:rPr>
          <w:rFonts w:hint="eastAsia" w:ascii="仿宋_GB2312" w:hAnsi="仿宋_GB2312" w:eastAsia="仿宋_GB2312" w:cs="仿宋_GB2312"/>
          <w:color w:val="000000" w:themeColor="text1"/>
          <w:sz w:val="32"/>
          <w:szCs w:val="32"/>
          <w:lang w:val="en-US" w:eastAsia="zh-CN"/>
        </w:rPr>
        <w:t>我</w:t>
      </w:r>
      <w:r>
        <w:rPr>
          <w:rFonts w:hint="eastAsia" w:ascii="仿宋_GB2312" w:hAnsi="仿宋_GB2312" w:eastAsia="仿宋_GB2312" w:cs="仿宋_GB2312"/>
          <w:color w:val="000000" w:themeColor="text1"/>
          <w:sz w:val="32"/>
          <w:szCs w:val="32"/>
          <w:lang w:eastAsia="zh-CN"/>
        </w:rPr>
        <w:t>校党委着手</w:t>
      </w:r>
      <w:r>
        <w:rPr>
          <w:rFonts w:hint="eastAsia" w:ascii="仿宋_GB2312" w:hAnsi="仿宋_GB2312" w:eastAsia="仿宋_GB2312" w:cs="仿宋_GB2312"/>
          <w:color w:val="000000" w:themeColor="text1"/>
          <w:sz w:val="32"/>
          <w:szCs w:val="32"/>
        </w:rPr>
        <w:t>启动干部工作，</w:t>
      </w:r>
      <w:r>
        <w:rPr>
          <w:rFonts w:hint="eastAsia" w:ascii="仿宋_GB2312" w:hAnsi="仿宋_GB2312" w:eastAsia="仿宋_GB2312" w:cs="仿宋_GB2312"/>
          <w:color w:val="000000" w:themeColor="text1"/>
          <w:sz w:val="32"/>
          <w:szCs w:val="32"/>
          <w:lang w:eastAsia="zh-CN"/>
        </w:rPr>
        <w:t>已开展</w:t>
      </w:r>
      <w:r>
        <w:rPr>
          <w:rFonts w:hint="default" w:ascii="仿宋_GB2312" w:hAnsi="仿宋_GB2312" w:eastAsia="仿宋_GB2312" w:cs="仿宋_GB2312"/>
          <w:color w:val="000000" w:themeColor="text1"/>
          <w:sz w:val="32"/>
          <w:szCs w:val="32"/>
          <w:lang w:val="en-US" w:eastAsia="zh-CN"/>
        </w:rPr>
        <w:t>5</w:t>
      </w:r>
      <w:r>
        <w:rPr>
          <w:rFonts w:hint="eastAsia" w:ascii="仿宋_GB2312" w:hAnsi="仿宋_GB2312" w:eastAsia="仿宋_GB2312" w:cs="仿宋_GB2312"/>
          <w:color w:val="000000" w:themeColor="text1"/>
          <w:sz w:val="32"/>
          <w:szCs w:val="32"/>
          <w:lang w:val="en-US" w:eastAsia="zh-CN"/>
        </w:rPr>
        <w:t>个批次选任工作，</w:t>
      </w:r>
      <w:r>
        <w:rPr>
          <w:rFonts w:hint="eastAsia" w:ascii="仿宋_GB2312" w:hAnsi="仿宋_GB2312" w:eastAsia="仿宋_GB2312" w:cs="仿宋_GB2312"/>
          <w:color w:val="000000" w:themeColor="text1"/>
          <w:sz w:val="32"/>
          <w:szCs w:val="32"/>
        </w:rPr>
        <w:t>提任</w:t>
      </w:r>
      <w:r>
        <w:rPr>
          <w:rFonts w:hint="eastAsia" w:ascii="仿宋_GB2312" w:hAnsi="仿宋_GB2312" w:eastAsia="仿宋_GB2312" w:cs="仿宋_GB2312"/>
          <w:color w:val="000000" w:themeColor="text1"/>
          <w:sz w:val="32"/>
          <w:szCs w:val="32"/>
          <w:lang w:val="en-US" w:eastAsia="zh-CN"/>
        </w:rPr>
        <w:t>171</w:t>
      </w:r>
      <w:r>
        <w:rPr>
          <w:rFonts w:hint="eastAsia" w:ascii="仿宋_GB2312" w:hAnsi="仿宋_GB2312" w:eastAsia="仿宋_GB2312" w:cs="仿宋_GB2312"/>
          <w:color w:val="000000" w:themeColor="text1"/>
          <w:sz w:val="32"/>
          <w:szCs w:val="32"/>
        </w:rPr>
        <w:t>名干部</w:t>
      </w:r>
      <w:r>
        <w:rPr>
          <w:rFonts w:hint="eastAsia" w:ascii="仿宋_GB2312" w:hAnsi="仿宋_GB2312" w:eastAsia="仿宋_GB2312" w:cs="仿宋_GB2312"/>
          <w:sz w:val="32"/>
          <w:szCs w:val="32"/>
        </w:rPr>
        <w:t>。其中，正处级28人，副处级</w:t>
      </w:r>
      <w:r>
        <w:rPr>
          <w:rFonts w:hint="eastAsia" w:ascii="仿宋_GB2312" w:hAnsi="仿宋_GB2312" w:eastAsia="仿宋_GB2312" w:cs="仿宋_GB2312"/>
          <w:sz w:val="32"/>
          <w:szCs w:val="32"/>
          <w:lang w:val="en-US" w:eastAsia="zh-CN"/>
        </w:rPr>
        <w:t>47</w:t>
      </w:r>
      <w:r>
        <w:rPr>
          <w:rFonts w:hint="eastAsia" w:ascii="仿宋_GB2312" w:hAnsi="仿宋_GB2312" w:eastAsia="仿宋_GB2312" w:cs="仿宋_GB2312"/>
          <w:sz w:val="32"/>
          <w:szCs w:val="32"/>
        </w:rPr>
        <w:t>人，正科级</w:t>
      </w:r>
      <w:r>
        <w:rPr>
          <w:rFonts w:hint="eastAsia" w:ascii="仿宋_GB2312" w:hAnsi="仿宋_GB2312" w:eastAsia="仿宋_GB2312" w:cs="仿宋_GB2312"/>
          <w:sz w:val="32"/>
          <w:szCs w:val="32"/>
          <w:lang w:val="en-US" w:eastAsia="zh-CN"/>
        </w:rPr>
        <w:t>53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副科级33人</w:t>
      </w:r>
      <w:r>
        <w:rPr>
          <w:rFonts w:hint="eastAsia" w:ascii="仿宋_GB2312" w:hAnsi="仿宋_GB2312" w:eastAsia="仿宋_GB2312" w:cs="仿宋_GB2312"/>
          <w:sz w:val="32"/>
          <w:szCs w:val="32"/>
        </w:rPr>
        <w:t>。根据工作实际，选任了五级职员2人、六级职员</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此外，还组织开展了</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个批次的干部试用期满考察工作。</w:t>
      </w:r>
      <w:r>
        <w:rPr>
          <w:rFonts w:hint="eastAsia" w:ascii="仿宋_GB2312" w:hAnsi="仿宋_GB2312" w:eastAsia="仿宋_GB2312" w:cs="仿宋_GB2312"/>
          <w:sz w:val="32"/>
          <w:szCs w:val="32"/>
          <w:lang w:val="en-US" w:eastAsia="zh-CN"/>
        </w:rPr>
        <w:t>在工作过程中，通过张贴考察工作预告发布考察工作相关信息，通过张贴任前公示公告的方式发布拟任人选相关信息，通过印发干部任免文及网络公布等方式发布干部任免相关信息。截至2022年</w:t>
      </w:r>
      <w:r>
        <w:rPr>
          <w:rFonts w:hint="default"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月</w:t>
      </w:r>
      <w:r>
        <w:rPr>
          <w:rFonts w:hint="default"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val="en-US" w:eastAsia="zh-CN"/>
        </w:rPr>
        <w:t>日，共张贴干部考察工作的预告</w:t>
      </w:r>
      <w:r>
        <w:rPr>
          <w:rFonts w:hint="default"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val="en-US" w:eastAsia="zh-CN"/>
        </w:rPr>
        <w:t>次，共计涉及</w:t>
      </w:r>
      <w:r>
        <w:rPr>
          <w:rFonts w:hint="default" w:ascii="仿宋_GB2312" w:hAnsi="仿宋_GB2312" w:eastAsia="仿宋_GB2312" w:cs="仿宋_GB2312"/>
          <w:sz w:val="32"/>
          <w:szCs w:val="32"/>
          <w:lang w:val="en-US" w:eastAsia="zh-CN"/>
        </w:rPr>
        <w:t>172</w:t>
      </w:r>
      <w:r>
        <w:rPr>
          <w:rFonts w:hint="eastAsia" w:ascii="仿宋_GB2312" w:hAnsi="仿宋_GB2312" w:eastAsia="仿宋_GB2312" w:cs="仿宋_GB2312"/>
          <w:sz w:val="32"/>
          <w:szCs w:val="32"/>
          <w:lang w:val="en-US" w:eastAsia="zh-CN"/>
        </w:rPr>
        <w:t>人次，任前公示公告</w:t>
      </w:r>
      <w:r>
        <w:rPr>
          <w:rFonts w:hint="default"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val="en-US" w:eastAsia="zh-CN"/>
        </w:rPr>
        <w:t>份，共计涉及</w:t>
      </w:r>
      <w:r>
        <w:rPr>
          <w:rFonts w:hint="default" w:ascii="仿宋_GB2312" w:hAnsi="仿宋_GB2312" w:eastAsia="仿宋_GB2312" w:cs="仿宋_GB2312"/>
          <w:sz w:val="32"/>
          <w:szCs w:val="32"/>
          <w:lang w:val="en-US" w:eastAsia="zh-CN"/>
        </w:rPr>
        <w:t>174</w:t>
      </w:r>
      <w:r>
        <w:rPr>
          <w:rFonts w:hint="eastAsia" w:ascii="仿宋_GB2312" w:hAnsi="仿宋_GB2312" w:eastAsia="仿宋_GB2312" w:cs="仿宋_GB2312"/>
          <w:sz w:val="32"/>
          <w:szCs w:val="32"/>
          <w:lang w:val="en-US" w:eastAsia="zh-CN"/>
        </w:rPr>
        <w:t>人次，共印发干部任免文</w:t>
      </w:r>
      <w:r>
        <w:rPr>
          <w:rFonts w:hint="default"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lang w:val="en-US" w:eastAsia="zh-CN"/>
        </w:rPr>
        <w:t>份，共计涉及</w:t>
      </w:r>
      <w:r>
        <w:rPr>
          <w:rFonts w:hint="default" w:ascii="仿宋_GB2312" w:hAnsi="仿宋_GB2312" w:eastAsia="仿宋_GB2312" w:cs="仿宋_GB2312"/>
          <w:sz w:val="32"/>
          <w:szCs w:val="32"/>
          <w:lang w:val="en-US" w:eastAsia="zh-CN"/>
        </w:rPr>
        <w:t>182</w:t>
      </w:r>
      <w:r>
        <w:rPr>
          <w:rFonts w:hint="eastAsia" w:ascii="仿宋_GB2312" w:hAnsi="仿宋_GB2312" w:eastAsia="仿宋_GB2312" w:cs="仿宋_GB2312"/>
          <w:sz w:val="32"/>
          <w:szCs w:val="32"/>
          <w:lang w:val="en-US" w:eastAsia="zh-CN"/>
        </w:rPr>
        <w:t>人次。</w:t>
      </w:r>
    </w:p>
    <w:p>
      <w:pPr>
        <w:keepNext w:val="0"/>
        <w:keepLines w:val="0"/>
        <w:pageBreakBefore w:val="0"/>
        <w:kinsoku/>
        <w:overflowPunct/>
        <w:topLinePunct w:val="0"/>
        <w:autoSpaceDE/>
        <w:autoSpaceDN/>
        <w:bidi w:val="0"/>
        <w:spacing w:line="560" w:lineRule="exact"/>
        <w:ind w:firstLine="640" w:firstLineChars="200"/>
        <w:jc w:val="both"/>
        <w:textAlignment w:val="auto"/>
        <w:rPr>
          <w:rFonts w:ascii="仿宋_GB2312" w:hAnsi="仿宋" w:eastAsia="仿宋_GB2312" w:cs="宋体"/>
          <w:color w:val="000000" w:themeColor="text1"/>
          <w:kern w:val="0"/>
          <w:sz w:val="32"/>
          <w:szCs w:val="32"/>
        </w:rPr>
      </w:pPr>
      <w:r>
        <w:rPr>
          <w:rFonts w:hint="eastAsia" w:ascii="仿宋_GB2312" w:eastAsia="仿宋_GB2312"/>
          <w:sz w:val="32"/>
          <w:szCs w:val="32"/>
          <w:lang w:val="en-US" w:eastAsia="zh-CN"/>
        </w:rPr>
        <w:t>人事师资工作方面，本学年</w:t>
      </w:r>
      <w:r>
        <w:rPr>
          <w:rFonts w:hint="eastAsia" w:ascii="仿宋_GB2312" w:hAnsi="仿宋" w:eastAsia="仿宋_GB2312" w:cs="仿宋"/>
          <w:sz w:val="32"/>
          <w:szCs w:val="32"/>
          <w:lang w:val="en-US" w:eastAsia="zh-CN"/>
        </w:rPr>
        <w:t>我</w:t>
      </w:r>
      <w:r>
        <w:rPr>
          <w:rFonts w:hint="eastAsia" w:ascii="仿宋_GB2312" w:eastAsia="仿宋_GB2312"/>
          <w:sz w:val="32"/>
          <w:szCs w:val="32"/>
        </w:rPr>
        <w:t>校进行了2次公开招聘，共招聘辅导员13人，硕士研究生教师6人，招聘工作严格按照《事业单位公开招聘人员暂行规定》及学校上报人社厅的方案等文件执行。招聘方案、笔试成绩、面试成绩、拟录用结果等招聘过程均按要求在网络上公开，全过程接受社会监督。根据工作要求，及时发布申报高层次人才等项目信息，通过学院党政联席会议研究、人才工作领导小组会议讨论，报学校党委会议确定，共引进、聘用20位高层次人才。</w:t>
      </w:r>
      <w:r>
        <w:rPr>
          <w:rFonts w:hint="eastAsia" w:ascii="仿宋_GB2312" w:eastAsia="仿宋_GB2312"/>
          <w:sz w:val="32"/>
          <w:szCs w:val="32"/>
          <w:lang w:val="en-US" w:eastAsia="zh-CN"/>
        </w:rPr>
        <w:t>本学年</w:t>
      </w:r>
      <w:r>
        <w:rPr>
          <w:rFonts w:hint="eastAsia" w:ascii="仿宋_GB2312" w:hAnsi="仿宋" w:eastAsia="仿宋_GB2312" w:cs="仿宋"/>
          <w:sz w:val="32"/>
          <w:szCs w:val="32"/>
        </w:rPr>
        <w:t>通过校园网、校内OA</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公告栏</w:t>
      </w:r>
      <w:r>
        <w:rPr>
          <w:rFonts w:hint="eastAsia" w:ascii="仿宋_GB2312" w:hAnsi="仿宋" w:eastAsia="仿宋_GB2312" w:cs="仿宋"/>
          <w:sz w:val="32"/>
          <w:szCs w:val="32"/>
        </w:rPr>
        <w:t>等形式共公开了17份相关制度规范文件</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同时</w:t>
      </w:r>
      <w:r>
        <w:rPr>
          <w:rFonts w:hint="eastAsia" w:ascii="仿宋_GB2312" w:hAnsi="仿宋" w:eastAsia="仿宋_GB2312" w:cs="仿宋"/>
          <w:sz w:val="32"/>
          <w:szCs w:val="32"/>
        </w:rPr>
        <w:t>根据相关工作安排及时发布相关进修、人才申报、师德教育、先进评选等信息。</w:t>
      </w:r>
    </w:p>
    <w:p>
      <w:pPr>
        <w:keepNext w:val="0"/>
        <w:keepLines w:val="0"/>
        <w:pageBreakBefore w:val="0"/>
        <w:kinsoku/>
        <w:overflowPunct/>
        <w:topLinePunct w:val="0"/>
        <w:autoSpaceDE/>
        <w:autoSpaceDN/>
        <w:bidi w:val="0"/>
        <w:spacing w:line="56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 w:eastAsia="仿宋_GB2312" w:cs="宋体"/>
          <w:b/>
          <w:color w:val="000000" w:themeColor="text1"/>
          <w:kern w:val="0"/>
          <w:sz w:val="32"/>
          <w:szCs w:val="32"/>
          <w:lang w:val="en-US" w:eastAsia="zh-CN"/>
        </w:rPr>
        <w:t>4</w:t>
      </w:r>
      <w:r>
        <w:rPr>
          <w:rFonts w:hint="eastAsia" w:ascii="仿宋_GB2312" w:hAnsi="仿宋" w:eastAsia="仿宋_GB2312" w:cs="宋体"/>
          <w:b/>
          <w:color w:val="000000" w:themeColor="text1"/>
          <w:kern w:val="0"/>
          <w:sz w:val="32"/>
          <w:szCs w:val="32"/>
        </w:rPr>
        <w:t>.教学信息公开情况。</w:t>
      </w:r>
      <w:r>
        <w:rPr>
          <w:rFonts w:hint="eastAsia" w:ascii="仿宋_GB2312" w:hAnsi="仿宋_GB2312" w:eastAsia="仿宋_GB2312" w:cs="仿宋_GB2312"/>
          <w:sz w:val="32"/>
          <w:szCs w:val="32"/>
          <w:lang w:val="en-US" w:eastAsia="zh-CN"/>
        </w:rPr>
        <w:t>我校教务处通过</w:t>
      </w:r>
      <w:r>
        <w:rPr>
          <w:rFonts w:hint="eastAsia" w:ascii="仿宋_GB2312" w:hAnsi="仿宋_GB2312" w:eastAsia="仿宋_GB2312" w:cs="仿宋_GB2312"/>
          <w:sz w:val="32"/>
          <w:szCs w:val="32"/>
        </w:rPr>
        <w:t>教学工作会议，向全校各二级学院和机关有关职能部门公开教学信息；通过印发处发文、教学工作简报等形式向全校师生公开教学信息；通过上报重大事项报告或项目申报向上级主管部门公开教学信息；通过校报、宣传栏等形式公布教学相关信息。</w:t>
      </w:r>
      <w:r>
        <w:rPr>
          <w:rFonts w:hint="eastAsia" w:ascii="仿宋_GB2312" w:hAnsi="仿宋_GB2312" w:eastAsia="仿宋_GB2312" w:cs="仿宋_GB2312"/>
          <w:color w:val="000000" w:themeColor="text1"/>
          <w:sz w:val="32"/>
          <w:szCs w:val="32"/>
          <w:lang w:val="en-US" w:eastAsia="zh-CN"/>
        </w:rPr>
        <w:t>学籍管理</w:t>
      </w:r>
      <w:r>
        <w:rPr>
          <w:rFonts w:hint="eastAsia" w:ascii="仿宋_GB2312" w:hAnsi="仿宋_GB2312" w:eastAsia="仿宋_GB2312" w:cs="仿宋_GB2312"/>
          <w:color w:val="000000" w:themeColor="text1"/>
          <w:sz w:val="32"/>
          <w:szCs w:val="32"/>
        </w:rPr>
        <w:t>方面，</w:t>
      </w:r>
      <w:r>
        <w:rPr>
          <w:rFonts w:hint="eastAsia" w:ascii="仿宋_GB2312" w:hAnsi="仿宋_GB2312" w:eastAsia="仿宋_GB2312" w:cs="仿宋_GB2312"/>
          <w:color w:val="000000" w:themeColor="text1"/>
          <w:sz w:val="32"/>
          <w:szCs w:val="32"/>
          <w:lang w:val="en-US" w:eastAsia="zh-CN"/>
        </w:rPr>
        <w:t>相关办法在教务处网站公布，详见</w:t>
      </w:r>
      <w:r>
        <w:rPr>
          <w:rFonts w:hint="eastAsia" w:ascii="仿宋_GB2312" w:hAnsi="仿宋_GB2312" w:eastAsia="仿宋_GB2312" w:cs="仿宋_GB2312"/>
          <w:sz w:val="32"/>
          <w:szCs w:val="32"/>
        </w:rPr>
        <w:t>《福建技术师范学院学位评定委员会章程（试行）》《福建技术师范学院全日制本科生学士学位授予工作细则（试行）》《福建技术师范学院普通本科学生学籍学历管理细则（试行）》等3份制度文件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同时通过教务处网站公布</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年转专业通知及方案，并在转专业考试、推免生工作结束后及时公布学生名单。</w:t>
      </w:r>
      <w:r>
        <w:rPr>
          <w:rFonts w:hint="eastAsia" w:ascii="仿宋_GB2312" w:hAnsi="仿宋_GB2312" w:eastAsia="仿宋_GB2312" w:cs="仿宋_GB2312"/>
          <w:sz w:val="32"/>
          <w:szCs w:val="32"/>
          <w:lang w:val="en-US" w:eastAsia="zh-CN"/>
        </w:rPr>
        <w:t>学风建设方面，</w:t>
      </w:r>
      <w:r>
        <w:rPr>
          <w:rFonts w:hint="eastAsia" w:ascii="仿宋_GB2312" w:hAnsi="仿宋_GB2312" w:eastAsia="仿宋_GB2312" w:cs="仿宋_GB2312"/>
          <w:b w:val="0"/>
          <w:bCs w:val="0"/>
          <w:sz w:val="32"/>
          <w:szCs w:val="32"/>
          <w:lang w:val="en-US" w:eastAsia="zh-CN"/>
        </w:rPr>
        <w:t>学风建设机构在教务处网站公布，详见《福建技术师范学院校教学督导员工作条例》。学位信息方面，授予学士学位的基本要求在教务处网站公布，详见《福建师范大学全日制本科生学士学位授予工作细则（修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 w:eastAsia="仿宋_GB2312" w:cs="宋体"/>
          <w:b/>
          <w:color w:val="000000" w:themeColor="text1"/>
          <w:kern w:val="0"/>
          <w:sz w:val="32"/>
          <w:szCs w:val="32"/>
          <w:lang w:val="en-US" w:eastAsia="zh-CN"/>
        </w:rPr>
        <w:t>5</w:t>
      </w:r>
      <w:r>
        <w:rPr>
          <w:rFonts w:hint="eastAsia" w:ascii="仿宋_GB2312" w:hAnsi="仿宋" w:eastAsia="仿宋_GB2312" w:cs="宋体"/>
          <w:b/>
          <w:color w:val="000000" w:themeColor="text1"/>
          <w:kern w:val="0"/>
          <w:sz w:val="32"/>
          <w:szCs w:val="32"/>
        </w:rPr>
        <w:t>.学生管理信息公开情况</w:t>
      </w:r>
      <w:r>
        <w:rPr>
          <w:rFonts w:hint="eastAsia" w:ascii="仿宋_GB2312" w:hAnsi="仿宋" w:eastAsia="仿宋_GB2312" w:cs="宋体"/>
          <w:color w:val="000000" w:themeColor="text1"/>
          <w:kern w:val="0"/>
          <w:sz w:val="32"/>
          <w:szCs w:val="32"/>
        </w:rPr>
        <w:t>。</w:t>
      </w:r>
      <w:r>
        <w:rPr>
          <w:rFonts w:hint="eastAsia" w:ascii="仿宋_GB2312" w:hAnsi="仿宋" w:eastAsia="仿宋_GB2312" w:cs="宋体"/>
          <w:color w:val="000000" w:themeColor="text1"/>
          <w:kern w:val="0"/>
          <w:sz w:val="32"/>
          <w:szCs w:val="32"/>
          <w:lang w:val="en-US" w:eastAsia="zh-CN"/>
        </w:rPr>
        <w:t>学生资助方面，我校持续</w:t>
      </w:r>
      <w:r>
        <w:rPr>
          <w:rFonts w:hint="eastAsia" w:ascii="仿宋_GB2312" w:hAnsi="仿宋_GB2312" w:eastAsia="仿宋_GB2312" w:cs="仿宋_GB2312"/>
          <w:b w:val="0"/>
          <w:bCs w:val="0"/>
          <w:sz w:val="32"/>
          <w:szCs w:val="32"/>
          <w:lang w:val="en-US" w:eastAsia="zh-CN"/>
        </w:rPr>
        <w:t>做好“奖、助、贷、勤、补、减、偿、绿”“八位一体”的学生资助各项工作，力求做到精准资助与资助育人相结合，扶贫与扶志相结合，完善学生资助各项管理办法，并落细落实，确保不让一个学生因家庭经济困难而失学。本学年共认定家庭经济困难学生1773人，发放国家助学金468.32万元，共有1495人成功申办助学贷款，助学贷款总金额1006.46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毕业生就业指导和服务方面，通过学校就业信息网、学生工作部官微发布各类招聘会、宣讲会、就业指导讲座、就业能力提升培训、就业创业政策等信息；依规做好选调生、求职创业补贴、福建省“三支一扶”的审核工作，并按要求做好公示工作；共向2022届毕业生发放省级、校级求职创业补贴417人次，发放补助金达80多万元；及时编制2021届毕业生就业质量报告，并通过学生工作部和就业信息网发布报告，做到就业各项工作公开透明。</w:t>
      </w:r>
    </w:p>
    <w:p>
      <w:pPr>
        <w:keepNext w:val="0"/>
        <w:keepLines w:val="0"/>
        <w:pageBreakBefore w:val="0"/>
        <w:kinsoku/>
        <w:overflowPunct/>
        <w:topLinePunct w:val="0"/>
        <w:autoSpaceDE/>
        <w:autoSpaceDN/>
        <w:bidi w:val="0"/>
        <w:spacing w:line="560" w:lineRule="exact"/>
        <w:ind w:firstLine="643" w:firstLineChars="200"/>
        <w:jc w:val="both"/>
        <w:textAlignment w:val="auto"/>
        <w:outlineLvl w:val="0"/>
        <w:rPr>
          <w:rFonts w:ascii="仿宋_GB2312" w:hAnsi="宋体" w:eastAsia="仿宋_GB2312" w:cs="宋体"/>
          <w:color w:val="000000" w:themeColor="text1"/>
          <w:sz w:val="32"/>
          <w:szCs w:val="32"/>
        </w:rPr>
      </w:pPr>
      <w:r>
        <w:rPr>
          <w:rFonts w:hint="eastAsia" w:ascii="仿宋_GB2312" w:hAnsi="仿宋" w:eastAsia="仿宋_GB2312" w:cs="宋体"/>
          <w:b/>
          <w:color w:val="000000" w:themeColor="text1"/>
          <w:kern w:val="0"/>
          <w:sz w:val="32"/>
          <w:szCs w:val="32"/>
          <w:lang w:val="en-US" w:eastAsia="zh-CN"/>
        </w:rPr>
        <w:t>6</w:t>
      </w:r>
      <w:r>
        <w:rPr>
          <w:rFonts w:hint="eastAsia" w:ascii="仿宋_GB2312" w:hAnsi="仿宋" w:eastAsia="仿宋_GB2312" w:cs="宋体"/>
          <w:b/>
          <w:color w:val="000000" w:themeColor="text1"/>
          <w:kern w:val="0"/>
          <w:sz w:val="32"/>
          <w:szCs w:val="32"/>
        </w:rPr>
        <w:t>.对外交流与合作信息公开情况。</w:t>
      </w:r>
      <w:r>
        <w:rPr>
          <w:rFonts w:hint="eastAsia" w:ascii="仿宋_GB2312" w:hAnsi="仿宋" w:eastAsia="仿宋_GB2312" w:cs="宋体"/>
          <w:color w:val="000000" w:themeColor="text1"/>
          <w:kern w:val="0"/>
          <w:sz w:val="32"/>
          <w:szCs w:val="32"/>
        </w:rPr>
        <w:t>我校</w:t>
      </w:r>
      <w:r>
        <w:rPr>
          <w:rFonts w:hint="eastAsia" w:ascii="仿宋_GB2312" w:hAnsi="宋体" w:eastAsia="仿宋_GB2312" w:cs="宋体"/>
          <w:color w:val="000000" w:themeColor="text1"/>
          <w:sz w:val="32"/>
          <w:szCs w:val="32"/>
        </w:rPr>
        <w:t>本学年不断加强对外</w:t>
      </w:r>
      <w:r>
        <w:rPr>
          <w:rFonts w:hint="eastAsia" w:ascii="仿宋_GB2312" w:hAnsi="宋体" w:eastAsia="仿宋_GB2312" w:cs="宋体"/>
          <w:color w:val="000000" w:themeColor="text1"/>
          <w:sz w:val="32"/>
          <w:szCs w:val="32"/>
          <w:lang w:val="en-US" w:eastAsia="zh-CN"/>
        </w:rPr>
        <w:t>交流合作</w:t>
      </w:r>
      <w:r>
        <w:rPr>
          <w:rFonts w:hint="eastAsia" w:ascii="仿宋_GB2312" w:hAnsi="宋体" w:eastAsia="仿宋_GB2312" w:cs="宋体"/>
          <w:color w:val="000000" w:themeColor="text1"/>
          <w:sz w:val="32"/>
          <w:szCs w:val="32"/>
        </w:rPr>
        <w:t>，</w:t>
      </w:r>
      <w:r>
        <w:rPr>
          <w:rFonts w:hint="eastAsia" w:ascii="仿宋_GB2312" w:hAnsi="宋体" w:eastAsia="仿宋_GB2312" w:cs="宋体"/>
          <w:color w:val="000000" w:themeColor="text1"/>
          <w:sz w:val="32"/>
          <w:szCs w:val="32"/>
          <w:lang w:val="en-US" w:eastAsia="zh-CN"/>
        </w:rPr>
        <w:t>合作领域不断拓展</w:t>
      </w:r>
      <w:r>
        <w:rPr>
          <w:rFonts w:hint="eastAsia" w:ascii="仿宋_GB2312" w:hAnsi="宋体" w:eastAsia="仿宋_GB2312" w:cs="宋体"/>
          <w:color w:val="000000" w:themeColor="text1"/>
          <w:sz w:val="32"/>
          <w:szCs w:val="32"/>
        </w:rPr>
        <w:t>，</w:t>
      </w:r>
      <w:r>
        <w:rPr>
          <w:rFonts w:hint="eastAsia" w:ascii="仿宋_GB2312" w:hAnsi="宋体" w:eastAsia="仿宋_GB2312" w:cs="宋体"/>
          <w:color w:val="000000" w:themeColor="text1"/>
          <w:sz w:val="32"/>
          <w:szCs w:val="32"/>
          <w:lang w:val="en-US" w:eastAsia="zh-CN"/>
        </w:rPr>
        <w:t>先后与印尼阿拉扎大学、日本长崎国际大学、巴西塞阿腊州立大学等</w:t>
      </w:r>
      <w:r>
        <w:rPr>
          <w:rFonts w:hint="eastAsia" w:ascii="仿宋_GB2312" w:hAnsi="宋体" w:eastAsia="仿宋_GB2312" w:cs="宋体"/>
          <w:color w:val="000000" w:themeColor="text1"/>
          <w:sz w:val="32"/>
          <w:szCs w:val="32"/>
        </w:rPr>
        <w:t>与</w:t>
      </w:r>
      <w:r>
        <w:rPr>
          <w:rFonts w:hint="eastAsia" w:ascii="仿宋_GB2312" w:hAnsi="宋体" w:eastAsia="仿宋_GB2312" w:cs="宋体"/>
          <w:color w:val="000000" w:themeColor="text1"/>
          <w:sz w:val="32"/>
          <w:szCs w:val="32"/>
          <w:lang w:val="en-US" w:eastAsia="zh-CN"/>
        </w:rPr>
        <w:t>6</w:t>
      </w:r>
      <w:r>
        <w:rPr>
          <w:rFonts w:hint="eastAsia" w:ascii="仿宋_GB2312" w:hAnsi="宋体" w:eastAsia="仿宋_GB2312" w:cs="宋体"/>
          <w:color w:val="000000" w:themeColor="text1"/>
          <w:sz w:val="32"/>
          <w:szCs w:val="32"/>
        </w:rPr>
        <w:t>所国外高校</w:t>
      </w:r>
      <w:r>
        <w:rPr>
          <w:rFonts w:hint="eastAsia" w:ascii="仿宋_GB2312" w:hAnsi="宋体" w:eastAsia="仿宋_GB2312" w:cs="宋体"/>
          <w:color w:val="000000" w:themeColor="text1"/>
          <w:sz w:val="32"/>
          <w:szCs w:val="32"/>
          <w:lang w:val="en-US" w:eastAsia="zh-CN"/>
        </w:rPr>
        <w:t>或机构</w:t>
      </w:r>
      <w:r>
        <w:rPr>
          <w:rFonts w:hint="eastAsia" w:ascii="仿宋_GB2312" w:hAnsi="宋体" w:eastAsia="仿宋_GB2312" w:cs="宋体"/>
          <w:color w:val="000000" w:themeColor="text1"/>
          <w:sz w:val="32"/>
          <w:szCs w:val="32"/>
        </w:rPr>
        <w:t>签订合作框架协议</w:t>
      </w:r>
      <w:r>
        <w:rPr>
          <w:rFonts w:hint="eastAsia" w:ascii="仿宋_GB2312" w:hAnsi="宋体" w:eastAsia="仿宋_GB2312" w:cs="宋体"/>
          <w:color w:val="000000" w:themeColor="text1"/>
          <w:sz w:val="32"/>
          <w:szCs w:val="32"/>
          <w:lang w:val="en-US" w:eastAsia="zh-CN"/>
        </w:rPr>
        <w:t>或合作备忘录</w:t>
      </w:r>
      <w:r>
        <w:rPr>
          <w:rFonts w:hint="eastAsia" w:ascii="仿宋_GB2312" w:hAnsi="宋体" w:eastAsia="仿宋_GB2312" w:cs="宋体"/>
          <w:color w:val="000000" w:themeColor="text1"/>
          <w:sz w:val="32"/>
          <w:szCs w:val="32"/>
        </w:rPr>
        <w:t>。受疫情影响，本学年我校未开展师生赴国（境）外项目，及国（境）外人员来校项目。</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三、依申请公开和不予公开情况</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eastAsia" w:ascii="仿宋_GB2312" w:hAnsi="仿宋" w:eastAsia="仿宋_GB2312" w:cs="宋体"/>
          <w:color w:val="000000" w:themeColor="text1"/>
          <w:kern w:val="0"/>
          <w:sz w:val="32"/>
          <w:szCs w:val="32"/>
          <w:lang w:eastAsia="zh-CN"/>
        </w:rPr>
      </w:pPr>
      <w:r>
        <w:rPr>
          <w:rFonts w:hint="eastAsia" w:ascii="仿宋_GB2312" w:hAnsi="仿宋" w:eastAsia="仿宋_GB2312" w:cs="宋体"/>
          <w:color w:val="000000" w:themeColor="text1"/>
          <w:kern w:val="0"/>
          <w:sz w:val="32"/>
          <w:szCs w:val="32"/>
        </w:rPr>
        <w:t>本学年，我校未</w:t>
      </w:r>
      <w:r>
        <w:rPr>
          <w:rFonts w:hint="eastAsia" w:ascii="仿宋_GB2312" w:hAnsi="仿宋" w:eastAsia="仿宋_GB2312" w:cs="宋体"/>
          <w:color w:val="000000" w:themeColor="text1"/>
          <w:kern w:val="0"/>
          <w:sz w:val="32"/>
          <w:szCs w:val="32"/>
          <w:lang w:val="en-US" w:eastAsia="zh-CN"/>
        </w:rPr>
        <w:t>收到</w:t>
      </w:r>
      <w:r>
        <w:rPr>
          <w:rFonts w:hint="eastAsia" w:ascii="仿宋_GB2312" w:hAnsi="仿宋" w:eastAsia="仿宋_GB2312" w:cs="宋体"/>
          <w:color w:val="000000" w:themeColor="text1"/>
          <w:kern w:val="0"/>
          <w:sz w:val="32"/>
          <w:szCs w:val="32"/>
        </w:rPr>
        <w:t>相关信息公开申请</w:t>
      </w:r>
      <w:r>
        <w:rPr>
          <w:rFonts w:hint="eastAsia" w:ascii="仿宋_GB2312" w:hAnsi="仿宋" w:eastAsia="仿宋_GB2312" w:cs="宋体"/>
          <w:color w:val="000000" w:themeColor="text1"/>
          <w:kern w:val="0"/>
          <w:sz w:val="32"/>
          <w:szCs w:val="32"/>
          <w:lang w:eastAsia="zh-CN"/>
        </w:rPr>
        <w:t>。</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四、对信息公开的评议情况</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default" w:ascii="仿宋_GB2312" w:hAnsi="仿宋" w:eastAsia="仿宋_GB2312" w:cs="宋体"/>
          <w:color w:val="000000" w:themeColor="text1"/>
          <w:kern w:val="0"/>
          <w:sz w:val="32"/>
          <w:szCs w:val="32"/>
          <w:lang w:val="en-US" w:eastAsia="zh-CN"/>
        </w:rPr>
      </w:pPr>
      <w:r>
        <w:rPr>
          <w:rFonts w:hint="eastAsia" w:ascii="仿宋_GB2312" w:hAnsi="仿宋" w:eastAsia="仿宋_GB2312" w:cs="宋体"/>
          <w:color w:val="000000" w:themeColor="text1"/>
          <w:kern w:val="0"/>
          <w:sz w:val="32"/>
          <w:szCs w:val="32"/>
          <w:lang w:val="en-US" w:eastAsia="zh-CN"/>
        </w:rPr>
        <w:t>我校按照上级相关文件要求主动向师生员工和社会公众公开学校可公开信息，信息公开渠道畅通多样，总体运行情况较好，未出现失误、泄密等不良情况，总体评议良好。</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五、因学校信息公开工作受到举报、复议、诉讼的情况</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本学年，我校未因信息公开</w:t>
      </w:r>
      <w:r>
        <w:rPr>
          <w:rFonts w:hint="eastAsia" w:ascii="仿宋_GB2312" w:hAnsi="仿宋" w:eastAsia="仿宋_GB2312" w:cs="宋体"/>
          <w:color w:val="000000" w:themeColor="text1"/>
          <w:kern w:val="0"/>
          <w:sz w:val="32"/>
          <w:szCs w:val="32"/>
          <w:lang w:val="en-US" w:eastAsia="zh-CN"/>
        </w:rPr>
        <w:t>工作</w:t>
      </w:r>
      <w:r>
        <w:rPr>
          <w:rFonts w:hint="eastAsia" w:ascii="仿宋_GB2312" w:hAnsi="仿宋" w:eastAsia="仿宋_GB2312" w:cs="宋体"/>
          <w:color w:val="000000" w:themeColor="text1"/>
          <w:kern w:val="0"/>
          <w:sz w:val="32"/>
          <w:szCs w:val="32"/>
        </w:rPr>
        <w:t>受到举报或收到行政诉讼。</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六、信息公开工作存在的主要问题和改进措施</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本学年，我校</w:t>
      </w:r>
      <w:r>
        <w:rPr>
          <w:rFonts w:hint="eastAsia" w:ascii="仿宋_GB2312" w:hAnsi="仿宋" w:eastAsia="仿宋_GB2312" w:cs="宋体"/>
          <w:color w:val="000000" w:themeColor="text1"/>
          <w:kern w:val="0"/>
          <w:sz w:val="32"/>
          <w:szCs w:val="32"/>
          <w:lang w:val="en-US" w:eastAsia="zh-CN"/>
        </w:rPr>
        <w:t>持续深入</w:t>
      </w:r>
      <w:r>
        <w:rPr>
          <w:rFonts w:hint="eastAsia" w:ascii="仿宋_GB2312" w:hAnsi="仿宋" w:eastAsia="仿宋_GB2312" w:cs="宋体"/>
          <w:color w:val="000000" w:themeColor="text1"/>
          <w:kern w:val="0"/>
          <w:sz w:val="32"/>
          <w:szCs w:val="32"/>
        </w:rPr>
        <w:t>推进信息公开工作，取得了</w:t>
      </w:r>
      <w:r>
        <w:rPr>
          <w:rFonts w:hint="eastAsia" w:ascii="仿宋_GB2312" w:hAnsi="仿宋" w:eastAsia="仿宋_GB2312" w:cs="宋体"/>
          <w:color w:val="000000" w:themeColor="text1"/>
          <w:kern w:val="0"/>
          <w:sz w:val="32"/>
          <w:szCs w:val="32"/>
          <w:lang w:val="en-US" w:eastAsia="zh-CN"/>
        </w:rPr>
        <w:t>一定进步</w:t>
      </w:r>
      <w:r>
        <w:rPr>
          <w:rFonts w:hint="eastAsia" w:ascii="仿宋_GB2312" w:hAnsi="仿宋" w:eastAsia="仿宋_GB2312" w:cs="宋体"/>
          <w:color w:val="000000" w:themeColor="text1"/>
          <w:kern w:val="0"/>
          <w:sz w:val="32"/>
          <w:szCs w:val="32"/>
        </w:rPr>
        <w:t>，但也存在一些不足，如</w:t>
      </w:r>
      <w:r>
        <w:rPr>
          <w:rFonts w:hint="eastAsia" w:ascii="仿宋_GB2312" w:hAnsi="仿宋" w:eastAsia="仿宋_GB2312" w:cs="宋体"/>
          <w:color w:val="000000" w:themeColor="text1"/>
          <w:kern w:val="0"/>
          <w:sz w:val="32"/>
          <w:szCs w:val="32"/>
          <w:lang w:val="en-US" w:eastAsia="zh-CN"/>
        </w:rPr>
        <w:t>信息公开工作创造性有待加强；信息公开内容需要进一步丰富完善。</w:t>
      </w:r>
      <w:r>
        <w:rPr>
          <w:rFonts w:hint="eastAsia" w:ascii="仿宋_GB2312" w:hAnsi="仿宋" w:eastAsia="仿宋_GB2312" w:cs="宋体"/>
          <w:color w:val="000000" w:themeColor="text1"/>
          <w:kern w:val="0"/>
          <w:sz w:val="32"/>
          <w:szCs w:val="32"/>
        </w:rPr>
        <w:t>改进措施如下：</w:t>
      </w:r>
    </w:p>
    <w:p>
      <w:pPr>
        <w:keepNext w:val="0"/>
        <w:keepLines w:val="0"/>
        <w:pageBreakBefore w:val="0"/>
        <w:widowControl/>
        <w:numPr>
          <w:ilvl w:val="0"/>
          <w:numId w:val="0"/>
        </w:numPr>
        <w:kinsoku/>
        <w:overflowPunct/>
        <w:topLinePunct w:val="0"/>
        <w:autoSpaceDE/>
        <w:autoSpaceDN/>
        <w:bidi w:val="0"/>
        <w:spacing w:line="560" w:lineRule="exact"/>
        <w:ind w:firstLine="643"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b/>
          <w:bCs/>
          <w:color w:val="000000" w:themeColor="text1"/>
          <w:kern w:val="0"/>
          <w:sz w:val="32"/>
          <w:szCs w:val="32"/>
          <w:lang w:val="en-US" w:eastAsia="zh-CN"/>
        </w:rPr>
        <w:t>1.</w:t>
      </w:r>
      <w:r>
        <w:rPr>
          <w:rFonts w:hint="eastAsia" w:ascii="仿宋_GB2312" w:hAnsi="仿宋" w:eastAsia="仿宋_GB2312" w:cs="宋体"/>
          <w:b/>
          <w:bCs/>
          <w:color w:val="000000" w:themeColor="text1"/>
          <w:kern w:val="0"/>
          <w:sz w:val="32"/>
          <w:szCs w:val="32"/>
        </w:rPr>
        <w:t>进一步</w:t>
      </w:r>
      <w:r>
        <w:rPr>
          <w:rFonts w:hint="eastAsia" w:ascii="仿宋_GB2312" w:hAnsi="仿宋" w:eastAsia="仿宋_GB2312" w:cs="宋体"/>
          <w:b/>
          <w:bCs/>
          <w:color w:val="000000" w:themeColor="text1"/>
          <w:kern w:val="0"/>
          <w:sz w:val="32"/>
          <w:szCs w:val="32"/>
          <w:lang w:val="en-US" w:eastAsia="zh-CN"/>
        </w:rPr>
        <w:t>创新</w:t>
      </w:r>
      <w:r>
        <w:rPr>
          <w:rFonts w:hint="eastAsia" w:ascii="仿宋_GB2312" w:hAnsi="仿宋" w:eastAsia="仿宋_GB2312" w:cs="宋体"/>
          <w:b/>
          <w:bCs/>
          <w:color w:val="000000" w:themeColor="text1"/>
          <w:kern w:val="0"/>
          <w:sz w:val="32"/>
          <w:szCs w:val="32"/>
        </w:rPr>
        <w:t>信息公开</w:t>
      </w:r>
      <w:r>
        <w:rPr>
          <w:rFonts w:hint="eastAsia" w:ascii="仿宋_GB2312" w:hAnsi="仿宋" w:eastAsia="仿宋_GB2312" w:cs="宋体"/>
          <w:b/>
          <w:bCs/>
          <w:color w:val="000000" w:themeColor="text1"/>
          <w:kern w:val="0"/>
          <w:sz w:val="32"/>
          <w:szCs w:val="32"/>
          <w:lang w:val="en-US" w:eastAsia="zh-CN"/>
        </w:rPr>
        <w:t>途径方法</w:t>
      </w:r>
      <w:r>
        <w:rPr>
          <w:rFonts w:hint="eastAsia" w:ascii="仿宋_GB2312" w:hAnsi="仿宋" w:eastAsia="仿宋_GB2312" w:cs="宋体"/>
          <w:b/>
          <w:bCs/>
          <w:color w:val="000000" w:themeColor="text1"/>
          <w:kern w:val="0"/>
          <w:sz w:val="32"/>
          <w:szCs w:val="32"/>
        </w:rPr>
        <w:t>。</w:t>
      </w:r>
      <w:r>
        <w:rPr>
          <w:rFonts w:hint="eastAsia" w:ascii="仿宋_GB2312" w:hAnsi="仿宋" w:eastAsia="仿宋_GB2312" w:cs="宋体"/>
          <w:color w:val="000000" w:themeColor="text1"/>
          <w:kern w:val="0"/>
          <w:sz w:val="32"/>
          <w:szCs w:val="32"/>
          <w:lang w:val="en-US" w:eastAsia="zh-CN"/>
        </w:rPr>
        <w:t>积极推进信息公开创新工作，通过采购大并发量的WebVPN系统以满足师生通过校外网络访问校内信息的需求、建设完善师生网上办事大厅等，不断提升信息公开工作信息化水平和服务能力。</w:t>
      </w:r>
    </w:p>
    <w:p>
      <w:pPr>
        <w:keepNext w:val="0"/>
        <w:keepLines w:val="0"/>
        <w:pageBreakBefore w:val="0"/>
        <w:widowControl/>
        <w:numPr>
          <w:ilvl w:val="0"/>
          <w:numId w:val="0"/>
        </w:numPr>
        <w:kinsoku/>
        <w:overflowPunct/>
        <w:topLinePunct w:val="0"/>
        <w:autoSpaceDE/>
        <w:autoSpaceDN/>
        <w:bidi w:val="0"/>
        <w:spacing w:line="560" w:lineRule="exact"/>
        <w:ind w:firstLine="643"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b/>
          <w:bCs/>
          <w:color w:val="000000" w:themeColor="text1"/>
          <w:kern w:val="0"/>
          <w:sz w:val="32"/>
          <w:szCs w:val="32"/>
          <w:lang w:val="en-US" w:eastAsia="zh-CN"/>
        </w:rPr>
        <w:t>2.</w:t>
      </w:r>
      <w:r>
        <w:rPr>
          <w:rFonts w:hint="eastAsia" w:ascii="仿宋_GB2312" w:hAnsi="仿宋" w:eastAsia="仿宋_GB2312" w:cs="宋体"/>
          <w:b/>
          <w:bCs/>
          <w:color w:val="000000" w:themeColor="text1"/>
          <w:kern w:val="0"/>
          <w:sz w:val="32"/>
          <w:szCs w:val="32"/>
        </w:rPr>
        <w:t>进一步</w:t>
      </w:r>
      <w:r>
        <w:rPr>
          <w:rFonts w:hint="eastAsia" w:ascii="仿宋_GB2312" w:hAnsi="仿宋" w:eastAsia="仿宋_GB2312" w:cs="宋体"/>
          <w:b/>
          <w:bCs/>
          <w:color w:val="000000" w:themeColor="text1"/>
          <w:kern w:val="0"/>
          <w:sz w:val="32"/>
          <w:szCs w:val="32"/>
          <w:lang w:val="en-US" w:eastAsia="zh-CN"/>
        </w:rPr>
        <w:t>强化</w:t>
      </w:r>
      <w:r>
        <w:rPr>
          <w:rFonts w:hint="eastAsia" w:ascii="仿宋_GB2312" w:hAnsi="仿宋" w:eastAsia="仿宋_GB2312" w:cs="宋体"/>
          <w:b/>
          <w:bCs/>
          <w:color w:val="000000" w:themeColor="text1"/>
          <w:kern w:val="0"/>
          <w:sz w:val="32"/>
          <w:szCs w:val="32"/>
        </w:rPr>
        <w:t>信息公开</w:t>
      </w:r>
      <w:r>
        <w:rPr>
          <w:rFonts w:hint="eastAsia" w:ascii="仿宋_GB2312" w:hAnsi="仿宋" w:eastAsia="仿宋_GB2312" w:cs="宋体"/>
          <w:b/>
          <w:bCs/>
          <w:color w:val="000000" w:themeColor="text1"/>
          <w:kern w:val="0"/>
          <w:sz w:val="32"/>
          <w:szCs w:val="32"/>
          <w:lang w:val="en-US" w:eastAsia="zh-CN"/>
        </w:rPr>
        <w:t>督查机制</w:t>
      </w:r>
      <w:r>
        <w:rPr>
          <w:rFonts w:hint="eastAsia" w:ascii="仿宋_GB2312" w:hAnsi="仿宋" w:eastAsia="仿宋_GB2312" w:cs="宋体"/>
          <w:b/>
          <w:bCs/>
          <w:color w:val="000000" w:themeColor="text1"/>
          <w:kern w:val="0"/>
          <w:sz w:val="32"/>
          <w:szCs w:val="32"/>
        </w:rPr>
        <w:t>。</w:t>
      </w:r>
      <w:r>
        <w:rPr>
          <w:rFonts w:hint="eastAsia" w:ascii="仿宋_GB2312" w:hAnsi="仿宋" w:eastAsia="仿宋_GB2312" w:cs="宋体"/>
          <w:color w:val="000000" w:themeColor="text1"/>
          <w:kern w:val="0"/>
          <w:sz w:val="32"/>
          <w:szCs w:val="32"/>
        </w:rPr>
        <w:t>对照</w:t>
      </w:r>
      <w:r>
        <w:rPr>
          <w:rFonts w:hint="eastAsia" w:ascii="仿宋_GB2312" w:hAnsi="仿宋" w:eastAsia="仿宋_GB2312" w:cs="宋体"/>
          <w:color w:val="000000" w:themeColor="text1"/>
          <w:kern w:val="0"/>
          <w:sz w:val="32"/>
          <w:szCs w:val="32"/>
          <w:lang w:val="en-US" w:eastAsia="zh-CN"/>
        </w:rPr>
        <w:t>信息公开清单</w:t>
      </w:r>
      <w:r>
        <w:rPr>
          <w:rFonts w:hint="eastAsia" w:ascii="仿宋_GB2312" w:hAnsi="仿宋" w:eastAsia="仿宋_GB2312" w:cs="宋体"/>
          <w:color w:val="000000" w:themeColor="text1"/>
          <w:kern w:val="0"/>
          <w:sz w:val="32"/>
          <w:szCs w:val="32"/>
        </w:rPr>
        <w:t>要求和学校工作实际，丰富信息公开工作内容，</w:t>
      </w:r>
      <w:r>
        <w:rPr>
          <w:rFonts w:hint="eastAsia" w:ascii="仿宋_GB2312" w:hAnsi="仿宋" w:eastAsia="仿宋_GB2312" w:cs="宋体"/>
          <w:color w:val="000000" w:themeColor="text1"/>
          <w:kern w:val="0"/>
          <w:sz w:val="32"/>
          <w:szCs w:val="32"/>
          <w:lang w:val="en-US" w:eastAsia="zh-CN"/>
        </w:rPr>
        <w:t>加大信息公开工作监督力度，组织各单位开展信息公开自检自查，针对自查发现的问题立行立改，抓好落实，不断提升信息公开工作质量。</w:t>
      </w:r>
    </w:p>
    <w:p>
      <w:pPr>
        <w:keepNext w:val="0"/>
        <w:keepLines w:val="0"/>
        <w:pageBreakBefore w:val="0"/>
        <w:widowControl/>
        <w:numPr>
          <w:ilvl w:val="0"/>
          <w:numId w:val="0"/>
        </w:numPr>
        <w:kinsoku/>
        <w:overflowPunct/>
        <w:topLinePunct w:val="0"/>
        <w:autoSpaceDE/>
        <w:autoSpaceDN/>
        <w:bidi w:val="0"/>
        <w:spacing w:line="560" w:lineRule="exact"/>
        <w:ind w:firstLine="640" w:firstLineChars="200"/>
        <w:jc w:val="both"/>
        <w:textAlignment w:val="auto"/>
        <w:rPr>
          <w:rFonts w:hint="eastAsia" w:ascii="仿宋_GB2312" w:eastAsia="仿宋_GB2312"/>
          <w:color w:val="000000" w:themeColor="text1"/>
          <w:sz w:val="32"/>
          <w:szCs w:val="32"/>
          <w:lang w:val="en-US" w:eastAsia="zh-CN"/>
        </w:rPr>
      </w:pPr>
    </w:p>
    <w:p>
      <w:pPr>
        <w:keepNext w:val="0"/>
        <w:keepLines w:val="0"/>
        <w:pageBreakBefore w:val="0"/>
        <w:widowControl/>
        <w:numPr>
          <w:ilvl w:val="0"/>
          <w:numId w:val="0"/>
        </w:numPr>
        <w:kinsoku/>
        <w:overflowPunct/>
        <w:topLinePunct w:val="0"/>
        <w:autoSpaceDE/>
        <w:autoSpaceDN/>
        <w:bidi w:val="0"/>
        <w:spacing w:line="560" w:lineRule="exact"/>
        <w:ind w:firstLine="640" w:firstLineChars="200"/>
        <w:jc w:val="both"/>
        <w:textAlignment w:val="auto"/>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 xml:space="preserve">附件：信息公开事项清单    </w:t>
      </w:r>
    </w:p>
    <w:p>
      <w:pPr>
        <w:keepNext w:val="0"/>
        <w:keepLines w:val="0"/>
        <w:pageBreakBefore w:val="0"/>
        <w:widowControl/>
        <w:numPr>
          <w:ilvl w:val="0"/>
          <w:numId w:val="0"/>
        </w:numPr>
        <w:kinsoku/>
        <w:overflowPunct/>
        <w:topLinePunct w:val="0"/>
        <w:autoSpaceDE/>
        <w:autoSpaceDN/>
        <w:bidi w:val="0"/>
        <w:spacing w:line="560" w:lineRule="exact"/>
        <w:ind w:firstLine="640" w:firstLineChars="200"/>
        <w:jc w:val="both"/>
        <w:textAlignment w:val="auto"/>
        <w:rPr>
          <w:rFonts w:hint="default" w:ascii="仿宋_GB2312" w:hAnsi="仿宋" w:eastAsia="仿宋_GB2312" w:cs="宋体"/>
          <w:color w:val="000000" w:themeColor="text1"/>
          <w:kern w:val="0"/>
          <w:sz w:val="32"/>
          <w:szCs w:val="32"/>
          <w:lang w:val="en-US" w:eastAsia="zh-CN"/>
        </w:rPr>
      </w:pPr>
      <w:r>
        <w:rPr>
          <w:rFonts w:hint="eastAsia" w:ascii="仿宋_GB2312" w:eastAsia="仿宋_GB2312"/>
          <w:color w:val="000000" w:themeColor="text1"/>
          <w:sz w:val="32"/>
          <w:szCs w:val="32"/>
          <w:lang w:val="en-US" w:eastAsia="zh-CN"/>
        </w:rPr>
        <w:t xml:space="preserve">                                                                                                                                                                                        </w:t>
      </w:r>
    </w:p>
    <w:p>
      <w:pPr>
        <w:keepNext w:val="0"/>
        <w:keepLines w:val="0"/>
        <w:pageBreakBefore w:val="0"/>
        <w:widowControl/>
        <w:kinsoku/>
        <w:wordWrap w:val="0"/>
        <w:overflowPunct/>
        <w:topLinePunct w:val="0"/>
        <w:autoSpaceDE/>
        <w:autoSpaceDN/>
        <w:bidi w:val="0"/>
        <w:spacing w:line="560" w:lineRule="exact"/>
        <w:ind w:firstLine="640" w:firstLineChars="200"/>
        <w:jc w:val="right"/>
        <w:textAlignment w:val="auto"/>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31"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微软雅黑 Light">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revisionView w:markup="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8C7FF6"/>
    <w:rsid w:val="00C448CD"/>
    <w:rsid w:val="00E72854"/>
    <w:rsid w:val="010B5014"/>
    <w:rsid w:val="01245BEB"/>
    <w:rsid w:val="012A7AF5"/>
    <w:rsid w:val="01376E0A"/>
    <w:rsid w:val="025A22A3"/>
    <w:rsid w:val="030F4492"/>
    <w:rsid w:val="03720CB3"/>
    <w:rsid w:val="0378063E"/>
    <w:rsid w:val="03F70F0C"/>
    <w:rsid w:val="04587CAC"/>
    <w:rsid w:val="04BE2ED4"/>
    <w:rsid w:val="04FF4D8A"/>
    <w:rsid w:val="05E9713E"/>
    <w:rsid w:val="064C13E1"/>
    <w:rsid w:val="0680771F"/>
    <w:rsid w:val="06C16E21"/>
    <w:rsid w:val="06C226A4"/>
    <w:rsid w:val="06C37114"/>
    <w:rsid w:val="070A631C"/>
    <w:rsid w:val="07493882"/>
    <w:rsid w:val="07541C13"/>
    <w:rsid w:val="07AB2021"/>
    <w:rsid w:val="0882652A"/>
    <w:rsid w:val="092C7790"/>
    <w:rsid w:val="09886330"/>
    <w:rsid w:val="0A6A4724"/>
    <w:rsid w:val="0AEC6CC4"/>
    <w:rsid w:val="0B0F14CD"/>
    <w:rsid w:val="0B6423BD"/>
    <w:rsid w:val="0B7A048B"/>
    <w:rsid w:val="0B7C7A64"/>
    <w:rsid w:val="0B8D7CFF"/>
    <w:rsid w:val="0BEE3DE5"/>
    <w:rsid w:val="0C1734E6"/>
    <w:rsid w:val="0C1D53EF"/>
    <w:rsid w:val="0C2549FA"/>
    <w:rsid w:val="0C334A3F"/>
    <w:rsid w:val="0C3A111C"/>
    <w:rsid w:val="0CA17BC7"/>
    <w:rsid w:val="0CE67036"/>
    <w:rsid w:val="0D015662"/>
    <w:rsid w:val="0D591574"/>
    <w:rsid w:val="0E2D0652"/>
    <w:rsid w:val="0E4B7C02"/>
    <w:rsid w:val="0EAC311F"/>
    <w:rsid w:val="0EE000F6"/>
    <w:rsid w:val="0EE85502"/>
    <w:rsid w:val="0F01062B"/>
    <w:rsid w:val="0F4924C2"/>
    <w:rsid w:val="0F4C3028"/>
    <w:rsid w:val="0F701F63"/>
    <w:rsid w:val="0FCE44FB"/>
    <w:rsid w:val="106327F0"/>
    <w:rsid w:val="107A5C99"/>
    <w:rsid w:val="110348F8"/>
    <w:rsid w:val="1132407A"/>
    <w:rsid w:val="11E101F3"/>
    <w:rsid w:val="12531C9B"/>
    <w:rsid w:val="129C6C18"/>
    <w:rsid w:val="12A1781C"/>
    <w:rsid w:val="1316305E"/>
    <w:rsid w:val="135B5D51"/>
    <w:rsid w:val="138D3FA2"/>
    <w:rsid w:val="147677A3"/>
    <w:rsid w:val="14815B34"/>
    <w:rsid w:val="15651C64"/>
    <w:rsid w:val="156B4F84"/>
    <w:rsid w:val="15892AE3"/>
    <w:rsid w:val="15C643BF"/>
    <w:rsid w:val="16951D1B"/>
    <w:rsid w:val="16DF0E96"/>
    <w:rsid w:val="195E692B"/>
    <w:rsid w:val="1A044BCB"/>
    <w:rsid w:val="1A6C20F6"/>
    <w:rsid w:val="1A81100C"/>
    <w:rsid w:val="1AB11AF9"/>
    <w:rsid w:val="1B4C6095"/>
    <w:rsid w:val="1B4D19DA"/>
    <w:rsid w:val="1B895FBB"/>
    <w:rsid w:val="1B905946"/>
    <w:rsid w:val="1BDD5A46"/>
    <w:rsid w:val="1C2403B8"/>
    <w:rsid w:val="1D461794"/>
    <w:rsid w:val="1D4E6BA1"/>
    <w:rsid w:val="1DAD5F43"/>
    <w:rsid w:val="1E590358"/>
    <w:rsid w:val="1E730F02"/>
    <w:rsid w:val="1EE859DC"/>
    <w:rsid w:val="1FDE4CF0"/>
    <w:rsid w:val="202905D3"/>
    <w:rsid w:val="211401D1"/>
    <w:rsid w:val="21BD5166"/>
    <w:rsid w:val="21BE0669"/>
    <w:rsid w:val="22981B98"/>
    <w:rsid w:val="23651C9F"/>
    <w:rsid w:val="237C334C"/>
    <w:rsid w:val="2406762A"/>
    <w:rsid w:val="24164041"/>
    <w:rsid w:val="254653D3"/>
    <w:rsid w:val="25A869D6"/>
    <w:rsid w:val="262F2132"/>
    <w:rsid w:val="26723EA0"/>
    <w:rsid w:val="276A6636"/>
    <w:rsid w:val="27A106AE"/>
    <w:rsid w:val="282D4176"/>
    <w:rsid w:val="28A37638"/>
    <w:rsid w:val="29482C31"/>
    <w:rsid w:val="294F5552"/>
    <w:rsid w:val="29A617E4"/>
    <w:rsid w:val="2A3E73D9"/>
    <w:rsid w:val="2A496A6F"/>
    <w:rsid w:val="2A6E5785"/>
    <w:rsid w:val="2AB17718"/>
    <w:rsid w:val="2AE71DF0"/>
    <w:rsid w:val="2BE07E0A"/>
    <w:rsid w:val="2BE841D7"/>
    <w:rsid w:val="2C3C6E9F"/>
    <w:rsid w:val="2C7B2207"/>
    <w:rsid w:val="2D3319B5"/>
    <w:rsid w:val="2E650E2E"/>
    <w:rsid w:val="2E6C623A"/>
    <w:rsid w:val="2E743646"/>
    <w:rsid w:val="2EBF49BF"/>
    <w:rsid w:val="2ED36EE3"/>
    <w:rsid w:val="2F0E473E"/>
    <w:rsid w:val="2FB04ED6"/>
    <w:rsid w:val="308220A2"/>
    <w:rsid w:val="309B51CA"/>
    <w:rsid w:val="30E30145"/>
    <w:rsid w:val="32385EF0"/>
    <w:rsid w:val="323A13F3"/>
    <w:rsid w:val="325F311B"/>
    <w:rsid w:val="32AD1732"/>
    <w:rsid w:val="334376A7"/>
    <w:rsid w:val="33527CC1"/>
    <w:rsid w:val="336B2DEA"/>
    <w:rsid w:val="33FD6DAC"/>
    <w:rsid w:val="3425595B"/>
    <w:rsid w:val="346C7790"/>
    <w:rsid w:val="350F1808"/>
    <w:rsid w:val="35651A76"/>
    <w:rsid w:val="3640708F"/>
    <w:rsid w:val="3650732A"/>
    <w:rsid w:val="36603F29"/>
    <w:rsid w:val="367146C8"/>
    <w:rsid w:val="378B4204"/>
    <w:rsid w:val="37B214EF"/>
    <w:rsid w:val="37BD1A7F"/>
    <w:rsid w:val="37FA18E4"/>
    <w:rsid w:val="381002D2"/>
    <w:rsid w:val="38C2132C"/>
    <w:rsid w:val="38CC1C3C"/>
    <w:rsid w:val="3914461D"/>
    <w:rsid w:val="392C2F5A"/>
    <w:rsid w:val="396046AE"/>
    <w:rsid w:val="39900A80"/>
    <w:rsid w:val="39917A11"/>
    <w:rsid w:val="39A70BA2"/>
    <w:rsid w:val="39E43063"/>
    <w:rsid w:val="3A444BE2"/>
    <w:rsid w:val="3A6F486B"/>
    <w:rsid w:val="3A8E7245"/>
    <w:rsid w:val="3AC72CFB"/>
    <w:rsid w:val="3AED5139"/>
    <w:rsid w:val="3B093E18"/>
    <w:rsid w:val="3B24455F"/>
    <w:rsid w:val="3B495853"/>
    <w:rsid w:val="3C0B7B0F"/>
    <w:rsid w:val="3C0D3013"/>
    <w:rsid w:val="3C225536"/>
    <w:rsid w:val="3C2E3547"/>
    <w:rsid w:val="3CC911C7"/>
    <w:rsid w:val="3CE120F1"/>
    <w:rsid w:val="3CE83374"/>
    <w:rsid w:val="3D1B3AA0"/>
    <w:rsid w:val="3D446170"/>
    <w:rsid w:val="3D4E1420"/>
    <w:rsid w:val="3D5001A7"/>
    <w:rsid w:val="3D6F51D8"/>
    <w:rsid w:val="3D7E758D"/>
    <w:rsid w:val="3DB63159"/>
    <w:rsid w:val="3DEA7324"/>
    <w:rsid w:val="3E6E2B7D"/>
    <w:rsid w:val="3E8A33A6"/>
    <w:rsid w:val="3EA915E7"/>
    <w:rsid w:val="3EAC7351"/>
    <w:rsid w:val="3EC631C5"/>
    <w:rsid w:val="3F1C4E43"/>
    <w:rsid w:val="3F281FAB"/>
    <w:rsid w:val="3F5C36FF"/>
    <w:rsid w:val="3FD94355"/>
    <w:rsid w:val="403372C6"/>
    <w:rsid w:val="407D28DD"/>
    <w:rsid w:val="410427B6"/>
    <w:rsid w:val="411A01DD"/>
    <w:rsid w:val="41A66159"/>
    <w:rsid w:val="425E3E47"/>
    <w:rsid w:val="4279141E"/>
    <w:rsid w:val="42C27294"/>
    <w:rsid w:val="439C056B"/>
    <w:rsid w:val="43A47886"/>
    <w:rsid w:val="43CE1A4A"/>
    <w:rsid w:val="43F01F04"/>
    <w:rsid w:val="440740A8"/>
    <w:rsid w:val="4475326D"/>
    <w:rsid w:val="44BB06D3"/>
    <w:rsid w:val="450E47A0"/>
    <w:rsid w:val="45940019"/>
    <w:rsid w:val="45E723BF"/>
    <w:rsid w:val="464004CF"/>
    <w:rsid w:val="47753931"/>
    <w:rsid w:val="477C2455"/>
    <w:rsid w:val="478E0E5D"/>
    <w:rsid w:val="47947ED7"/>
    <w:rsid w:val="48644951"/>
    <w:rsid w:val="49283796"/>
    <w:rsid w:val="49343FA2"/>
    <w:rsid w:val="49796A18"/>
    <w:rsid w:val="49E34B7D"/>
    <w:rsid w:val="4A077580"/>
    <w:rsid w:val="4A1B73C5"/>
    <w:rsid w:val="4A4D5AF6"/>
    <w:rsid w:val="4A5B4DD2"/>
    <w:rsid w:val="4A610F14"/>
    <w:rsid w:val="4B7F7988"/>
    <w:rsid w:val="4C512F86"/>
    <w:rsid w:val="4C8A729F"/>
    <w:rsid w:val="4D3C2946"/>
    <w:rsid w:val="4D8507BC"/>
    <w:rsid w:val="4DA25B6E"/>
    <w:rsid w:val="4E000105"/>
    <w:rsid w:val="4E0D199A"/>
    <w:rsid w:val="4E1061A1"/>
    <w:rsid w:val="4E1A6AB1"/>
    <w:rsid w:val="4E707F95"/>
    <w:rsid w:val="4EA33192"/>
    <w:rsid w:val="4EFF3FD4"/>
    <w:rsid w:val="4FE912AB"/>
    <w:rsid w:val="514738BF"/>
    <w:rsid w:val="518B0356"/>
    <w:rsid w:val="51A41581"/>
    <w:rsid w:val="51C1782C"/>
    <w:rsid w:val="525F1CB4"/>
    <w:rsid w:val="527A02DF"/>
    <w:rsid w:val="537B5903"/>
    <w:rsid w:val="537C6C08"/>
    <w:rsid w:val="543E3443"/>
    <w:rsid w:val="547748A2"/>
    <w:rsid w:val="54A71AD7"/>
    <w:rsid w:val="54B07EFF"/>
    <w:rsid w:val="54C46B9F"/>
    <w:rsid w:val="54C855A5"/>
    <w:rsid w:val="54EE4432"/>
    <w:rsid w:val="551B2E31"/>
    <w:rsid w:val="555278C4"/>
    <w:rsid w:val="55DA43B8"/>
    <w:rsid w:val="5617074A"/>
    <w:rsid w:val="564E66A6"/>
    <w:rsid w:val="56D020D0"/>
    <w:rsid w:val="56D57C04"/>
    <w:rsid w:val="57105B1C"/>
    <w:rsid w:val="57350F22"/>
    <w:rsid w:val="57590D44"/>
    <w:rsid w:val="58894CCC"/>
    <w:rsid w:val="592E1A66"/>
    <w:rsid w:val="598361E9"/>
    <w:rsid w:val="5A5E4C52"/>
    <w:rsid w:val="5B407B87"/>
    <w:rsid w:val="5BAB1071"/>
    <w:rsid w:val="5C41066B"/>
    <w:rsid w:val="5C890A5F"/>
    <w:rsid w:val="5C8F0B89"/>
    <w:rsid w:val="5C974551"/>
    <w:rsid w:val="5CBB2533"/>
    <w:rsid w:val="5CCA3B2A"/>
    <w:rsid w:val="5CE85E55"/>
    <w:rsid w:val="5D4F255E"/>
    <w:rsid w:val="5D587E33"/>
    <w:rsid w:val="5DCF53BC"/>
    <w:rsid w:val="5E2E6B91"/>
    <w:rsid w:val="5E8E34B9"/>
    <w:rsid w:val="5EAA3F5C"/>
    <w:rsid w:val="5F0A307C"/>
    <w:rsid w:val="5F0C077E"/>
    <w:rsid w:val="5F4A23F3"/>
    <w:rsid w:val="5FA03FC2"/>
    <w:rsid w:val="5FB20138"/>
    <w:rsid w:val="5FD849CF"/>
    <w:rsid w:val="6043627C"/>
    <w:rsid w:val="606232AE"/>
    <w:rsid w:val="60BA14DF"/>
    <w:rsid w:val="60F85D2A"/>
    <w:rsid w:val="611654D4"/>
    <w:rsid w:val="61834A0A"/>
    <w:rsid w:val="619E314C"/>
    <w:rsid w:val="619E35D5"/>
    <w:rsid w:val="62387C78"/>
    <w:rsid w:val="623F2BBF"/>
    <w:rsid w:val="630C0C8E"/>
    <w:rsid w:val="63133FC5"/>
    <w:rsid w:val="635A7823"/>
    <w:rsid w:val="638144D0"/>
    <w:rsid w:val="63F83DCD"/>
    <w:rsid w:val="64C073DB"/>
    <w:rsid w:val="65101C55"/>
    <w:rsid w:val="6515484B"/>
    <w:rsid w:val="65AA78A1"/>
    <w:rsid w:val="65D61121"/>
    <w:rsid w:val="66262220"/>
    <w:rsid w:val="66DE60D0"/>
    <w:rsid w:val="671A6C35"/>
    <w:rsid w:val="672B1A53"/>
    <w:rsid w:val="67446062"/>
    <w:rsid w:val="67BF5359"/>
    <w:rsid w:val="67EE3D0F"/>
    <w:rsid w:val="68845507"/>
    <w:rsid w:val="68E0459C"/>
    <w:rsid w:val="69402926"/>
    <w:rsid w:val="69DA0037"/>
    <w:rsid w:val="6A38073E"/>
    <w:rsid w:val="6A923047"/>
    <w:rsid w:val="6A9E263E"/>
    <w:rsid w:val="6AC412B9"/>
    <w:rsid w:val="6B126DCB"/>
    <w:rsid w:val="6B7818DC"/>
    <w:rsid w:val="6BA14120"/>
    <w:rsid w:val="6BBF5037"/>
    <w:rsid w:val="6C303407"/>
    <w:rsid w:val="6C496EB7"/>
    <w:rsid w:val="6C4F2FBF"/>
    <w:rsid w:val="6CA56EDC"/>
    <w:rsid w:val="6D2372E0"/>
    <w:rsid w:val="6D806BB4"/>
    <w:rsid w:val="6DAC5479"/>
    <w:rsid w:val="6E391182"/>
    <w:rsid w:val="6E393DE4"/>
    <w:rsid w:val="6E3D6BF0"/>
    <w:rsid w:val="6E4A407E"/>
    <w:rsid w:val="6E8B036B"/>
    <w:rsid w:val="6F2A116E"/>
    <w:rsid w:val="6F4309B6"/>
    <w:rsid w:val="6FD71894"/>
    <w:rsid w:val="6FEA5D29"/>
    <w:rsid w:val="703838A9"/>
    <w:rsid w:val="70770E10"/>
    <w:rsid w:val="70914805"/>
    <w:rsid w:val="70A41BE1"/>
    <w:rsid w:val="70D8212E"/>
    <w:rsid w:val="71150B3E"/>
    <w:rsid w:val="7165695F"/>
    <w:rsid w:val="71DB64D8"/>
    <w:rsid w:val="72496B0C"/>
    <w:rsid w:val="72A52837"/>
    <w:rsid w:val="73AE76D8"/>
    <w:rsid w:val="74123F21"/>
    <w:rsid w:val="7427609D"/>
    <w:rsid w:val="74321EB0"/>
    <w:rsid w:val="74570DEB"/>
    <w:rsid w:val="74703F13"/>
    <w:rsid w:val="74B7598C"/>
    <w:rsid w:val="75496E32"/>
    <w:rsid w:val="75D160D9"/>
    <w:rsid w:val="76286AE8"/>
    <w:rsid w:val="770B295E"/>
    <w:rsid w:val="777C1998"/>
    <w:rsid w:val="77A8025E"/>
    <w:rsid w:val="77BA39FB"/>
    <w:rsid w:val="78364649"/>
    <w:rsid w:val="78511348"/>
    <w:rsid w:val="790B2EE2"/>
    <w:rsid w:val="797E6B5F"/>
    <w:rsid w:val="7A8C6D1C"/>
    <w:rsid w:val="7ABF07F0"/>
    <w:rsid w:val="7B743B6F"/>
    <w:rsid w:val="7BDC1EC1"/>
    <w:rsid w:val="7CB54872"/>
    <w:rsid w:val="7D1F7055"/>
    <w:rsid w:val="7D237C5A"/>
    <w:rsid w:val="7D7B196D"/>
    <w:rsid w:val="7D7E706F"/>
    <w:rsid w:val="7DF42531"/>
    <w:rsid w:val="7F2D2647"/>
    <w:rsid w:val="7FCE693F"/>
    <w:rsid w:val="7FF47A78"/>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link w:val="21"/>
    <w:qFormat/>
    <w:locked/>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Calibri" w:hAnsi="Calibri"/>
      <w:kern w:val="0"/>
      <w:sz w:val="20"/>
      <w:szCs w:val="20"/>
    </w:rPr>
  </w:style>
  <w:style w:type="paragraph" w:styleId="3">
    <w:name w:val="Body Text"/>
    <w:basedOn w:val="1"/>
    <w:qFormat/>
    <w:uiPriority w:val="0"/>
    <w:rPr>
      <w:sz w:val="28"/>
      <w:u w:val="thick"/>
    </w:rPr>
  </w:style>
  <w:style w:type="paragraph" w:styleId="5">
    <w:name w:val="footer"/>
    <w:basedOn w:val="1"/>
    <w:link w:val="15"/>
    <w:semiHidden/>
    <w:qFormat/>
    <w:uiPriority w:val="99"/>
    <w:pPr>
      <w:tabs>
        <w:tab w:val="center" w:pos="4153"/>
        <w:tab w:val="right" w:pos="8306"/>
      </w:tabs>
      <w:snapToGrid w:val="0"/>
      <w:jc w:val="left"/>
    </w:pPr>
    <w:rPr>
      <w:sz w:val="18"/>
      <w:szCs w:val="18"/>
    </w:rPr>
  </w:style>
  <w:style w:type="paragraph" w:styleId="6">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locked/>
    <w:uiPriority w:val="0"/>
    <w:rPr>
      <w:b/>
    </w:rPr>
  </w:style>
  <w:style w:type="character" w:styleId="12">
    <w:name w:val="FollowedHyperlink"/>
    <w:basedOn w:val="10"/>
    <w:semiHidden/>
    <w:qFormat/>
    <w:uiPriority w:val="99"/>
    <w:rPr>
      <w:rFonts w:cs="Times New Roman"/>
      <w:color w:val="800080"/>
      <w:u w:val="single"/>
    </w:rPr>
  </w:style>
  <w:style w:type="character" w:styleId="13">
    <w:name w:val="Hyperlink"/>
    <w:basedOn w:val="10"/>
    <w:qFormat/>
    <w:uiPriority w:val="99"/>
    <w:rPr>
      <w:rFonts w:cs="Times New Roman"/>
      <w:color w:val="0000FF"/>
      <w:u w:val="single"/>
    </w:rPr>
  </w:style>
  <w:style w:type="character" w:customStyle="1" w:styleId="14">
    <w:name w:val="页眉 Char"/>
    <w:basedOn w:val="10"/>
    <w:link w:val="6"/>
    <w:semiHidden/>
    <w:qFormat/>
    <w:locked/>
    <w:uiPriority w:val="99"/>
    <w:rPr>
      <w:rFonts w:cs="Times New Roman"/>
      <w:sz w:val="18"/>
      <w:szCs w:val="18"/>
    </w:rPr>
  </w:style>
  <w:style w:type="character" w:customStyle="1" w:styleId="15">
    <w:name w:val="页脚 Char"/>
    <w:basedOn w:val="10"/>
    <w:link w:val="5"/>
    <w:semiHidden/>
    <w:qFormat/>
    <w:locked/>
    <w:uiPriority w:val="99"/>
    <w:rPr>
      <w:rFonts w:cs="Times New Roman"/>
      <w:sz w:val="18"/>
      <w:szCs w:val="18"/>
    </w:rPr>
  </w:style>
  <w:style w:type="character" w:customStyle="1" w:styleId="16">
    <w:name w:val="timestyle105806"/>
    <w:basedOn w:val="10"/>
    <w:qFormat/>
    <w:uiPriority w:val="99"/>
    <w:rPr>
      <w:rFonts w:cs="Times New Roman"/>
    </w:rPr>
  </w:style>
  <w:style w:type="character" w:customStyle="1" w:styleId="17">
    <w:name w:val="authorstyle105806"/>
    <w:basedOn w:val="10"/>
    <w:qFormat/>
    <w:uiPriority w:val="99"/>
    <w:rPr>
      <w:rFonts w:cs="Times New Roman"/>
    </w:rPr>
  </w:style>
  <w:style w:type="paragraph" w:customStyle="1" w:styleId="18">
    <w:name w:val="vsbcontent_star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9">
    <w:name w:val="vsbcontent_end"/>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0">
    <w:name w:val="List Paragraph"/>
    <w:basedOn w:val="1"/>
    <w:qFormat/>
    <w:uiPriority w:val="99"/>
    <w:pPr>
      <w:ind w:firstLine="420" w:firstLineChars="200"/>
    </w:pPr>
  </w:style>
  <w:style w:type="character" w:customStyle="1" w:styleId="21">
    <w:name w:val="标题 2 Char"/>
    <w:basedOn w:val="10"/>
    <w:link w:val="4"/>
    <w:qFormat/>
    <w:uiPriority w:val="9"/>
    <w:rPr>
      <w:rFonts w:ascii="宋体" w:hAnsi="宋体" w:cs="宋体"/>
      <w:b/>
      <w:bCs/>
      <w:sz w:val="36"/>
      <w:szCs w:val="36"/>
    </w:rPr>
  </w:style>
  <w:style w:type="paragraph" w:customStyle="1" w:styleId="22">
    <w:name w:val="_Style 18"/>
    <w:basedOn w:val="1"/>
    <w:next w:val="1"/>
    <w:qFormat/>
    <w:uiPriority w:val="0"/>
    <w:pPr>
      <w:pBdr>
        <w:bottom w:val="single" w:color="auto" w:sz="6" w:space="1"/>
      </w:pBdr>
      <w:jc w:val="center"/>
    </w:pPr>
    <w:rPr>
      <w:rFonts w:ascii="Arial"/>
      <w:vanish/>
      <w:sz w:val="16"/>
    </w:rPr>
  </w:style>
  <w:style w:type="paragraph" w:customStyle="1" w:styleId="23">
    <w:name w:val="_Style 19"/>
    <w:basedOn w:val="1"/>
    <w:next w:val="1"/>
    <w:qFormat/>
    <w:uiPriority w:val="0"/>
    <w:pPr>
      <w:pBdr>
        <w:top w:val="single" w:color="auto" w:sz="6" w:space="1"/>
      </w:pBdr>
      <w:jc w:val="center"/>
    </w:pPr>
    <w:rPr>
      <w:rFonts w:ascii="Arial"/>
      <w:vanish/>
      <w:sz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529</Words>
  <Characters>3017</Characters>
  <Lines>25</Lines>
  <Paragraphs>7</Paragraphs>
  <TotalTime>26</TotalTime>
  <ScaleCrop>false</ScaleCrop>
  <LinksUpToDate>false</LinksUpToDate>
  <CharactersWithSpaces>3539</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2018-10-30T08:36:00Z</dcterms:created>
  <dc:creator>微软用户</dc:creator>
  <cp:lastModifiedBy>周晓艳</cp:lastModifiedBy>
  <cp:lastPrinted>2022-11-25T08:00:00Z</cp:lastPrinted>
  <dcterms:modified xsi:type="dcterms:W3CDTF">2022-11-29T07:42:17Z</dcterms:modified>
  <cp:revision>475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C273E140328A487983E2778FB2E5D090</vt:lpwstr>
  </property>
</Properties>
</file>