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宋体" w:hAnsi="宋体" w:cs="宋体"/>
          <w:b/>
          <w:bCs/>
          <w:color w:val="FF0000"/>
          <w:w w:val="90"/>
          <w:sz w:val="96"/>
          <w:szCs w:val="96"/>
        </w:rPr>
      </w:pPr>
      <w:r>
        <w:rPr>
          <w:rFonts w:hint="eastAsia" w:ascii="宋体" w:hAnsi="宋体" w:cs="宋体"/>
          <w:b/>
          <w:bCs/>
          <w:color w:val="FF0000"/>
          <w:w w:val="90"/>
          <w:sz w:val="96"/>
          <w:szCs w:val="96"/>
        </w:rPr>
        <w:t>福州软件职业技术学院</w:t>
      </w:r>
    </w:p>
    <w:p>
      <w:pPr>
        <w:spacing w:line="640" w:lineRule="exact"/>
        <w:jc w:val="center"/>
        <w:rPr>
          <w:rFonts w:ascii="方正小标宋简体" w:eastAsia="方正小标宋简体"/>
          <w:sz w:val="62"/>
        </w:rPr>
      </w:pPr>
    </w:p>
    <w:p>
      <w:pPr>
        <w:rPr>
          <w:rFonts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49530</wp:posOffset>
                </wp:positionV>
                <wp:extent cx="6108065" cy="381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06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6pt;margin-top:3.9pt;height:0.3pt;width:480.95pt;z-index:251659264;mso-width-relative:page;mso-height-relative:page;" filled="f" stroked="t" coordsize="21600,21600" o:gfxdata="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qi2x1wAAAAcBAAAPAAAAAAAAAAEAIAAAACIAAABkcnMv&#10;ZG93bnJldi54bWxQSwECFAAUAAAACACHTuJA5dzqpgQCAAAABAAADgAAAAAAAAABACAAAAAmAQAA&#10;ZHJzL2Uyb0RvYy54bWxQSwUGAAAAAAYABgBZAQAAn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55" w:lineRule="atLeast"/>
        <w:jc w:val="center"/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</w:rPr>
        <w:t>福州软件职业技术学院2019-2020学年</w:t>
      </w:r>
    </w:p>
    <w:p>
      <w:pPr>
        <w:widowControl/>
        <w:spacing w:line="555" w:lineRule="atLeast"/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</w:rPr>
        <w:t>信息公开工作报告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依照《教育部办公厅关于关于做好2021年高校信息公开年度报告工作的通知》（教办厅函〔2021〕37号）有关规定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结合省市教育主管部门的要求，参照校内信息公开情况编制工作报告。本报告包括我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信息公开工作开展整体情况概述、主动公开情况、依申请公开和不予公开情况、对信息公开的评议情况、因学校信息公开工作遭到举报的情况、信息公开工作主要经验、存在的问题和改进措施六个部分。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一、概述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-202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学年度，我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高度重视信息公开工作，严格落实《高等学校信息公开办法》（中华人民共和国教育部令第29号，以下简称《办法》）和《教育部关于公布〈高等学校信息公开事项清单〉的通知》（教办函〔2014〕23号，以下简称《清单》）有关要求，不断完善规章制度，全面推进信息公开平台建设，进一步完善部门联动机制，健全信息公开工作体系，加强信息公开工作宣传力度，丰富信息公开方式，做好信息公开监督工作，力求办学信息公开化、透明化、公正化，认真扎实做好信息公开工作，确保了社会大众和广大师生员工的教育知情权、参与权和监督权。 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（一）完善信息公开长效机制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信息公开工作领导小组领导下，由学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办公室牵头，联动教务、学工、财务、招就、人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、工会、各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院（系）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等职能部门，实行党政联席会议和校务公开领导小组专题会议双向融入长效机制，实现了信息公开工作的组织统筹、归口管理和良性互动。一学年来，学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校务公开领导小组召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开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校务公开专题会议，根据《清单》要求，严格查案对表，逐条逐项明确责任单位、责任人和工作时限，明确要求各责任部门在本单位网站开辟信息公开专栏，做到应公开尽公开、实时发布、及时更新。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办公室对责任部门信息公开情况进行动态监测，及时发现、解决工作中存在的问题，确保落实《清单》公开事项不打折扣。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（二）搭建多元信息平台，加强信息公开渠道建设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构建了多元形式的信息公开发布平台，立足于校园信息化建设，依托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官网、福软通、官微、99游等方式逐步拓展信息公开量，着力保质保量地公开学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人事师资、教学质量、财务收费、招生考试、学生管理服务等方面的信息。主要渠道及方式有以下四种：一是通过全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教职工大会来保证教职工对重大决策事项的参与权与知情权。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因疫情防控需要于202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年10月19日线上审议学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工作报告，并对涉及到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改革发展和教职工权益的重大事项进行审议和决定。二是通过党政联席会、调研座谈等方式征求意见，使重大决策事项充分听取民意，做到民主与科学。如学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在人事调整和目标责任制考核方案制定过程中，就多次通过党政联席会议研究讨论、深入基层调研或召开座谈会听取不同层次教职工的意见，使得调整方案更加完善。三是通过校务公开栏实现信息公开。学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行政楼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设有校务公开栏，公开栏根据学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工作实际设置了财务收费、教务、招生就业等栏目，凡涉及师生利益及师生关心的事项一律在公开栏公开。四是充分利用网络信息公开载体。学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在官方网站及时公开学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的规章制度、人事调整、重大举措及各部门动态。并依托99U、福软通的校内全员平台实现信息公开与反馈。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（三）强化信息公开成效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在逐步推进信息公开的过程中，学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党委明确要求要把学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教育管理、改革密切相关的涉及教职工、学生切身利益的事项，全部予以公开，要把群众最为关心，反映最为强烈，社会最为敏感，容易引发矛盾和滋生腐败的内容作为公开的重点。一学年来，学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向社会公开了各项招生和收费等政策，并严格按照政策规定执行；公开了关于学生“奖、贷、助、勤、减、免”资助学生管理体系及评优、奖惩、综合测评办法和研究生的推免条件、程序等；通过会议形式公开财务预决算及收支情况、公开了职工奖惩等涉及职工切身利益事项；通过公开竞聘、公开评审实现人事任命、职称评聘公开。较大程度上保障了社会和学生、教职工的知情权，激发了广大教职工参与学校改革发展的热情和积极性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二、主动公开情况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（一）主动公开方式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1、福州软件职业技术学院主页、福州软件职业技术学院官方微信、公众号、福软通即时通讯软件、网龙99游办公平台等；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信息公告栏（校内宣传栏）、广播站、魅影工作室等；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3、寒暑假给学生家长的一封信、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工作简报等书面资料；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4、学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党政联席会、全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教职工大会、暑期工作会重大事项通报会等会议形式；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5、其他形式。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（二）专项信息公开情况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1、基本信息公开。学校的基本信息通过福州软件职业技术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院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主页对外公开，学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定期对学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简介、办学规模、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领导简介、学校机构设置等信息进行更新，保证数据的及时性和完整性；学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各项规章制度、年度工作计划及重点工作安排等通过官网、99游办公平台、福软通、官微进行公布；学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发展规划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（“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十四五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”）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教职工大会上上进行公开。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2、招生考试信息公开。学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在官网、官微招生信息专栏上主动公开招生章程、招生计划、考试与录取规定、考试成绩查询、录取情况及监督投诉等信息，便于社会公众获取有关招生方面信息的同时，接受公众对招生工作的监督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3、财务、资产及收费信息公开。自2012年教育部发文要求高校做好财务信息公开工作以来，财务处严格执行各项规定，设置了财务公开栏、财务专线，并通过学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官网定期公示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收费项目。此外，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财务处还在每学期期初和期末均通过一封信和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收费项目告知书的形式向学生及学生家长公开学费、重修费等各项收费项目、收费依据、收费标准。通过以上方式做好学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财务信息公开工作，做到财务信息公开“合规性”及“合理性”。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4、人事师资信息公开。学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所有干部的竞聘、任免信息主要通过学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网站与校内海报栏进行宣传及公示，并第一时间在学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办公平台发布。一学年来，学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共任免中层干部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34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人次。学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根据教育厅有关职称评聘的总体要求，结合学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评聘细则开展职称评聘工作，相关细则及评审结果均在学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官网及办公平台发布。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5、教学质量信息公开。学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根据教育厅的要求，认真编制并发布教学质量报告。根据学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教学工作督查要求，学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定期开展教学工作检查，并对检查结果予以公开。此外，学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招生就业办公室还公布学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年毕业生就业质量年度报告，包括促进毕业生就业的政策措施和指导服务、毕业生规模、结构、就业率、就业流向等信息。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6、学生管理服务信息公开。学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学生处通过学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官网与及福软通推送等方式公开学籍管理办法、学生奖学金、助学金、学费减免、助学贷款、勤工俭学申请与管理规定、学生奖励处罚办法、学生申诉办法等规章制度。以上学生管理的各相关规定同时也通过《福州软件职业技术学院学生手册》印发于每位学生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各类奖助学金的评定均在学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官方网站予以公示。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三、依申请公开和不予公开情况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-202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学年，学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未接收到各种形式提出的信息公开申请。学校对涉及国家秘密、商业秘密和个人隐私的信息依法不予公开。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四、对信息公开的评议情况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-202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学年来，我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高度重视信息公开工作，通过访谈、座谈会等形式，征求学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师生对学校信息公开工作的评价和建议，学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不断拓展信息公开渠道、完善信息公开内容、提升信息公开质量，切实保证学校各项工作信息公开、透明，并增强与社会公众和校内师生的互动与交流，得到了广大师生的一致好评。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五、因学校信息公开工作受到举报的情况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提供了官方网站信箱、福软通、99游办公平台上向社会公众及全校师生提供多种反映问题的渠道，广泛听取社会公众和师生员工的评议意见与建议。学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通过各种方式回复各类信息共计20余条。本学年，学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未收到有关信息公开的举报或投诉。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六、信息公开工作的主要经验、问题和改进措施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-202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学年，在稳步推进学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信息公开工作的同时，学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的信息公开工作仍存在不足之处，主要表现在：各部门、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院（系）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在公开信息时主动性和时效性不强、程序上不够规范，信息公开渠道及内容有待畅通和丰富，信息公开工作水平有待提升；信息公开网的功能有待进一步细化等。今后，学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会不断提高信息公开工作水平，完善二级单位信息公开工作机制，加强对各部门和系部信息公开工作的指导，加大对教职工的政策和业务培训。同时优化信息公开平台和渠道，实时发布、及时更新。以期进一步提高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信息公开的全面性、时效性和有效性。</w:t>
      </w: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55" w:lineRule="atLeast"/>
        <w:ind w:firstLine="6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line="555" w:lineRule="atLeast"/>
        <w:ind w:firstLine="601"/>
        <w:jc w:val="righ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福州软件职业技术学院</w:t>
      </w:r>
    </w:p>
    <w:p>
      <w:pPr>
        <w:widowControl/>
        <w:spacing w:line="555" w:lineRule="atLeast"/>
        <w:ind w:firstLine="601"/>
        <w:jc w:val="righ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</w:t>
      </w: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304" w:right="1304" w:bottom="1304" w:left="1417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90"/>
    <w:rsid w:val="00047DD7"/>
    <w:rsid w:val="00102F74"/>
    <w:rsid w:val="00174237"/>
    <w:rsid w:val="00272C21"/>
    <w:rsid w:val="002B66DA"/>
    <w:rsid w:val="002C7992"/>
    <w:rsid w:val="002D0DB0"/>
    <w:rsid w:val="002F2142"/>
    <w:rsid w:val="00330CBB"/>
    <w:rsid w:val="003415E1"/>
    <w:rsid w:val="003C2346"/>
    <w:rsid w:val="003C53ED"/>
    <w:rsid w:val="00442C3A"/>
    <w:rsid w:val="00455384"/>
    <w:rsid w:val="00463B7E"/>
    <w:rsid w:val="004B6096"/>
    <w:rsid w:val="004C467C"/>
    <w:rsid w:val="004E1C97"/>
    <w:rsid w:val="004E512F"/>
    <w:rsid w:val="004E6165"/>
    <w:rsid w:val="00600C23"/>
    <w:rsid w:val="00632829"/>
    <w:rsid w:val="006A0075"/>
    <w:rsid w:val="00826785"/>
    <w:rsid w:val="008502D0"/>
    <w:rsid w:val="008A02FE"/>
    <w:rsid w:val="00966D85"/>
    <w:rsid w:val="009B3130"/>
    <w:rsid w:val="00A62CB5"/>
    <w:rsid w:val="00AF4BD1"/>
    <w:rsid w:val="00B53ABF"/>
    <w:rsid w:val="00BB73D2"/>
    <w:rsid w:val="00C00021"/>
    <w:rsid w:val="00C165C7"/>
    <w:rsid w:val="00C75AC2"/>
    <w:rsid w:val="00D15A39"/>
    <w:rsid w:val="00DD2C5D"/>
    <w:rsid w:val="00E31CD3"/>
    <w:rsid w:val="00E974EE"/>
    <w:rsid w:val="00EC6ED5"/>
    <w:rsid w:val="00F15AB4"/>
    <w:rsid w:val="00F240C1"/>
    <w:rsid w:val="00F25E2C"/>
    <w:rsid w:val="00F51A90"/>
    <w:rsid w:val="2EF30CD1"/>
    <w:rsid w:val="36CC6B58"/>
    <w:rsid w:val="3AD71F29"/>
    <w:rsid w:val="46E77046"/>
    <w:rsid w:val="4C045F6F"/>
    <w:rsid w:val="4CBA71DE"/>
    <w:rsid w:val="4E9623AE"/>
    <w:rsid w:val="4FD745C5"/>
    <w:rsid w:val="5260746C"/>
    <w:rsid w:val="59B21A9D"/>
    <w:rsid w:val="666609A3"/>
    <w:rsid w:val="6C9C3123"/>
    <w:rsid w:val="72285371"/>
    <w:rsid w:val="7E1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857C5-1398-4468-AA0F-DA145F48D3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656</Words>
  <Characters>3741</Characters>
  <Lines>31</Lines>
  <Paragraphs>8</Paragraphs>
  <TotalTime>6</TotalTime>
  <ScaleCrop>false</ScaleCrop>
  <LinksUpToDate>false</LinksUpToDate>
  <CharactersWithSpaces>4389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2020-09-18T01:18:00Z</dcterms:created>
  <dc:creator>FZR</dc:creator>
  <cp:lastModifiedBy>魏潞</cp:lastModifiedBy>
  <cp:lastPrinted>2020-10-02T07:43:00Z</cp:lastPrinted>
  <dcterms:modified xsi:type="dcterms:W3CDTF">2021-11-22T01:20:47Z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7F13620DF8B24373BAF24493DD34335A</vt:lpwstr>
  </property>
</Properties>
</file>