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exact"/>
        <w:jc w:val="center"/>
        <w:rPr>
          <w:rFonts w:hint="eastAsia" w:ascii="黑体" w:hAnsi="黑体" w:eastAsia="黑体" w:cs="黑体"/>
          <w:b/>
          <w:bCs w:val="0"/>
          <w:spacing w:val="20"/>
          <w:sz w:val="32"/>
          <w:szCs w:val="32"/>
        </w:rPr>
      </w:pPr>
      <w:r>
        <w:rPr>
          <w:rFonts w:hint="eastAsia" w:ascii="黑体" w:hAnsi="黑体" w:eastAsia="黑体" w:cs="黑体"/>
          <w:b/>
          <w:bCs w:val="0"/>
          <w:spacing w:val="20"/>
          <w:sz w:val="32"/>
          <w:szCs w:val="32"/>
        </w:rPr>
        <w:t>福建省中等职业学校学业水平考试</w:t>
      </w:r>
    </w:p>
    <w:p>
      <w:pPr>
        <w:pStyle w:val="4"/>
        <w:spacing w:line="360" w:lineRule="exact"/>
        <w:jc w:val="center"/>
        <w:rPr>
          <w:rFonts w:hint="eastAsia" w:ascii="黑体" w:hAnsi="黑体" w:eastAsia="黑体" w:cs="黑体"/>
          <w:b/>
          <w:bCs w:val="0"/>
          <w:spacing w:val="20"/>
          <w:sz w:val="32"/>
          <w:szCs w:val="32"/>
        </w:rPr>
      </w:pPr>
      <w:r>
        <w:rPr>
          <w:rFonts w:hint="eastAsia" w:ascii="黑体" w:hAnsi="黑体" w:eastAsia="黑体" w:cs="黑体"/>
          <w:b/>
          <w:bCs w:val="0"/>
          <w:spacing w:val="20"/>
          <w:sz w:val="32"/>
          <w:szCs w:val="32"/>
        </w:rPr>
        <w:t>《植物生产与环境》课程考试大纲</w:t>
      </w:r>
    </w:p>
    <w:p>
      <w:pPr>
        <w:keepNext w:val="0"/>
        <w:keepLines w:val="0"/>
        <w:pageBreakBefore w:val="0"/>
        <w:kinsoku/>
        <w:wordWrap/>
        <w:overflowPunct/>
        <w:topLinePunct w:val="0"/>
        <w:autoSpaceDE/>
        <w:autoSpaceDN w:val="0"/>
        <w:bidi w:val="0"/>
        <w:adjustRightInd/>
        <w:snapToGrid w:val="0"/>
        <w:spacing w:line="520" w:lineRule="exact"/>
        <w:ind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本考试大纲以教育部《中等职业学校专业教学标准》为指导，</w:t>
      </w:r>
      <w:r>
        <w:rPr>
          <w:rFonts w:hint="eastAsia" w:ascii="宋体" w:hAnsi="宋体" w:eastAsia="宋体" w:cs="宋体"/>
          <w:sz w:val="24"/>
          <w:szCs w:val="24"/>
        </w:rPr>
        <w:t>结合我省中职学校《植物生产与环境》课程教学的实际情况而制定。</w:t>
      </w:r>
    </w:p>
    <w:p>
      <w:pPr>
        <w:keepNext w:val="0"/>
        <w:keepLines w:val="0"/>
        <w:pageBreakBefore w:val="0"/>
        <w:kinsoku/>
        <w:wordWrap/>
        <w:overflowPunct/>
        <w:topLinePunct w:val="0"/>
        <w:autoSpaceDE/>
        <w:autoSpaceDN w:val="0"/>
        <w:bidi w:val="0"/>
        <w:adjustRightInd/>
        <w:snapToGrid w:val="0"/>
        <w:spacing w:line="520" w:lineRule="exact"/>
        <w:ind w:right="0" w:righ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Ⅰ. 考试目标与要求</w:t>
      </w:r>
      <w:bookmarkStart w:id="0" w:name="_GoBack"/>
      <w:bookmarkEnd w:id="0"/>
    </w:p>
    <w:p>
      <w:pPr>
        <w:keepNext w:val="0"/>
        <w:keepLines w:val="0"/>
        <w:pageBreakBefore w:val="0"/>
        <w:kinsoku/>
        <w:wordWrap/>
        <w:overflowPunct/>
        <w:topLinePunct w:val="0"/>
        <w:autoSpaceDE/>
        <w:autoSpaceDN w:val="0"/>
        <w:bidi w:val="0"/>
        <w:adjustRightInd/>
        <w:snapToGrid w:val="0"/>
        <w:spacing w:line="520" w:lineRule="exact"/>
        <w:ind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《植物生产与环境》课程主要考查学生对植物生产与环境知识的认知程度和运用知识分析问题、解决问题的能力，能达到职业岗位能力的基本要求。具体要求如下</w:t>
      </w:r>
      <w:r>
        <w:rPr>
          <w:rFonts w:hint="eastAsia" w:ascii="宋体" w:hAnsi="宋体" w:cs="宋体"/>
          <w:sz w:val="24"/>
          <w:szCs w:val="24"/>
          <w:lang w:eastAsia="zh-CN"/>
        </w:rPr>
        <w:t>：</w:t>
      </w:r>
    </w:p>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1.了解层次：要求对某一概念、知识内容，能够准确再认、再现，具有初步识别、辨认事实或正确描述对象的基本特征的能力，即知道“是什么”。</w:t>
      </w:r>
    </w:p>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2.理解层次：要求对某一概念、知识内容，在了解基础上，能够深刻领会相关知识、原理、方法，并借此解释、推断、分析现象，辨明正误，即明白“为什么”。</w:t>
      </w:r>
    </w:p>
    <w:p>
      <w:pPr>
        <w:keepNext w:val="0"/>
        <w:keepLines w:val="0"/>
        <w:pageBreakBefore w:val="0"/>
        <w:kinsoku/>
        <w:wordWrap/>
        <w:overflowPunct/>
        <w:topLinePunct w:val="0"/>
        <w:autoSpaceDE/>
        <w:autoSpaceDN w:val="0"/>
        <w:bidi w:val="0"/>
        <w:adjustRightInd/>
        <w:snapToGrid w:val="0"/>
        <w:spacing w:line="520" w:lineRule="exact"/>
        <w:ind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3.掌握层次：要求能够灵活运用相关原理、法则和方法，综合分析、解决实际问题，进行总结论述，与已有技能建立联系，即清楚“怎么办”。</w:t>
      </w:r>
    </w:p>
    <w:p>
      <w:pPr>
        <w:keepNext w:val="0"/>
        <w:keepLines w:val="0"/>
        <w:pageBreakBefore w:val="0"/>
        <w:kinsoku/>
        <w:wordWrap/>
        <w:overflowPunct/>
        <w:topLinePunct w:val="0"/>
        <w:autoSpaceDE/>
        <w:autoSpaceDN w:val="0"/>
        <w:bidi w:val="0"/>
        <w:adjustRightInd/>
        <w:snapToGrid w:val="0"/>
        <w:spacing w:line="520" w:lineRule="exact"/>
        <w:ind w:right="0" w:righ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Ⅱ</w:t>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 2 \* ROMAN </w:instrText>
      </w:r>
      <w:r>
        <w:rPr>
          <w:rFonts w:hint="eastAsia" w:ascii="宋体" w:hAnsi="宋体" w:eastAsia="宋体" w:cs="宋体"/>
          <w:b/>
          <w:bCs/>
          <w:sz w:val="24"/>
          <w:szCs w:val="24"/>
        </w:rPr>
        <w:fldChar w:fldCharType="end"/>
      </w:r>
      <w:r>
        <w:rPr>
          <w:rFonts w:hint="eastAsia" w:ascii="宋体" w:hAnsi="宋体" w:eastAsia="宋体" w:cs="宋体"/>
          <w:b/>
          <w:bCs/>
          <w:sz w:val="24"/>
          <w:szCs w:val="24"/>
        </w:rPr>
        <w:t>.考试范围与考核要求</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一、植物生产与环境概述</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（一）植物生长与植物生产</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1.理解植物生长、发育、营养生长和生殖生长等概念；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2.了解生长与发育的关系、营养生长与生殖生长的关系；</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3.理解植物生长周期性及其主要类型；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4.理解植物生长相关性及其在农业生产上的应用；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5.掌握顶端优势的概念及其在生产上的应用；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6.理解植物的极性、再生、休眠和衰老等概念；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7.掌握植物春化作用、光周期现象等概念及春化作用、光周期现象、花芽分化等生理作用在农业生产上的应用；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8.掌握植物生产的特点和作用</w:t>
      </w:r>
      <w:r>
        <w:rPr>
          <w:rFonts w:hint="eastAsia" w:ascii="宋体" w:hAnsi="宋体" w:eastAsia="宋体" w:cs="宋体"/>
          <w:bCs/>
          <w:color w:val="000000"/>
          <w:sz w:val="24"/>
          <w:szCs w:val="24"/>
          <w:lang w:eastAsia="zh-CN"/>
        </w:rPr>
        <w:t>。</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（二）植物生产的两大要素</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1.了解植物生产的自然要素；</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2.理解植物生产的农业生产要素。</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二、植物的生长发育</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（一）植物的细胞</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1.了解细胞的形状和大小；</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2.掌握细胞的概念及植物细胞的基本结构；</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3.理解线粒体、叶绿体、核糖体和液泡等常见细胞器结构与功能；</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4.理解植物细胞繁殖方式及其特点。</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（二）植物的组织</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1.掌握植物分生组织、成熟组织的概念及类型；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2.掌握成熟组织的特点及作用；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3.了解分生组织的特点及作用；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4.了解植物组织系统的组成。</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（三）植物的营养器官</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1.掌握根及根系的类型；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2.理解根尖的组成及各部分的功能；</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3.了解侧根的形成部位，理解根瘤和菌根的概念及作用；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4.掌握茎的基本形态及茎和芽的类型；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5.了解茎的生长方式和分枝方式；</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6.掌握叶的组成；</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7.了解叶的形态和叶序类型；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8.了解根、茎、叶的生理功能；</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9.了解双子叶植物和单子叶植物根、茎、叶等的形态结构及区别；</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10.理解常见营养器官的变态。</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（四）植物的生殖器官</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1.理解花的组成和花序的类型；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2.掌握开花、开花期、自花传粉、异花传粉、受精和双受精等概念；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3.了解种子的发育，以及花的发育、开花、传粉、受精的一般过程；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4.理解果实的发育；</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5.掌握种子的结构及类型，以及种子萌发的过程及条件；</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6.掌握果实结构及主要类型；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7.理解果实和种子的传播。</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（五）植物的生长物质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1.理解七大类植物激素的种类及主要生理作用；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2.了解其他主要生长物质的生理作用；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3.理解常见的植物生长调节剂的生理作用。</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三、植物生产与土壤培肥</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（一）土壤的基本组成</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1.了解土壤的组成，以及物理性砂粒与物理性黏粒的粒径及作用；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2.了解土壤有机质转化的两个过程，以及土壤生物的种类和作用；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3.理解土壤、土壤肥力、土壤质地等概念，以及土壤有机质组成及作用；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4.掌握土壤质地的主要类型(卡庆斯基制)；</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5.理解土壤水分形态及其有效性；</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6.理解土壤有效水的上限和下限的概念；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7.理解土壤墒情、土壤质量含水量和相对含水量等概念；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8.掌握土壤水分的测定方法，以及调节土壤水分状况的方法；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9.理解土壤空气的组成，以及土壤通气性的作用；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10.理解土壤通气性的概念；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11.掌握调节土壤通气性的方法。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（二）土壤的基本性质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1.了解植物生长发育的土壤孔隙度指标及计算方法；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2.理解土壤结构体的种类及特点，以及土壤胶体种类与特性；</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3.理解土壤孔隙性、土壤孔隙度、土壤容重、土壤结构性、土壤物理机械性、土壤耕性等的概念；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4.理解团粒结构的概念，以及创造土壤团粒结构的技术措施；</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5.掌握土壤耕性好坏的标准，以及确定宜耕期的方法；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6.了解适宜植物生长的土壤酸碱度的范围；</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7.了解土壤吸收性的主要类型；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8.理解土壤酸碱性、土壤缓冲性的概念；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9.掌握改良土壤酸碱性的方法，以及提高土壤保肥性和供肥性的方法；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10.理解不同土壤质地的生产性能，以及改良土壤质地的方法；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11.了解我国主要土壤的特性。</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（三）植物营养与科学施肥</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1.了解植物吸收营养元素的方式，以及植物科学施肥的理论依据；</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2.理解植物必需营养元素的生理作用，以及科学施肥的方法；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3.掌握植物必需营养元素的种类及植物营养三要素；</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4.掌握植物营养供给的两个关键时期；</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5.了解化学肥料的种类和性质；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6.掌握常用化学肥料施用要点；</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7.掌握有机肥料的种类和性质；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8.理解有机肥料的作用，以及常用有机肥料施用要点；</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9.掌握常用生物肥料的种类及其施用要点；</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10.理解测土配方施肥的概念；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11.了解测土配方施肥主要技术环节。</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四、植物生产与科学用水</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（一）植物生产的水分条件</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1.了解水汽凝结条件和水汽凝结物；</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2.理解空气相对湿度的概念及日变化和年变化规律；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3.掌握农业生产上空气湿度的常用表示方法；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4.了解降水的成因，以及降水量、降水强度等的表示方法；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5.掌握降水的种类；</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6.了解土壤水分蒸发的三个阶段；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7.掌握土壤水分蒸发的概念。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（二）植物生产的水分调控</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1.掌握根系吸水的途径，理解影响根系吸水的土壤因素；</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2.理解水分对植物生长的作用，以及植物细胞吸水的方式；</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3.掌握植物根系吸水的动力；</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4.掌握蒸腾作用的意义、方式、指标，理解蒸腾作用的影响因素；</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5.掌握蒸腾作用概念，以及植物蒸腾作用的调节；</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6.掌握植物需水两个关键时期，以及合理灌溉指标；</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7.理解植物水分调控的有关措施。</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五、植物生产与光能利用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（一）植物的新陈代谢</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1.掌握光合作用、光饱和点、光补偿点等概念，以及光合作用意义；</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2.掌握呼吸作用的概念、意义与类型；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3.了解光合作用、呼吸作用的主要过程及其调控；</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4.理解光合作用、呼吸作用理论知识在生产中的应用；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5.理解光合作用和呼吸作用的区别和联系。</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（二）植物生产的光照条件</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1.了解日地关系及四季、昼夜的形成；</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2.了解昼夜长短与季节和纬度变化的关系；</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3.理解可照时数、光照时数、实照时数、光照度和太阳高度角等概念；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4.掌握太阳辐射光谱的概念及三个光谱区对植物生产的影响；</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5.理解光照强度对植物生长发育的影响。</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（三）植物生产的光环境调控 </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1.掌握植物的光能利用率不高的原因；</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2.掌握植物对光照度、光照时间的适应类型；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3.掌握一般条件下光环境调控技术；</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4.理解设施条件下光环境调控技术、调控光照时间控制花期的措施。</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六、植物生产与温度调控</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（一）植物生产的温度条件 </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1.了解土壤的热性质，以及土壤热容量、导热率等物理参数；</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2.了解土壤温度、空气温度的变化规律；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3.理解气温非周期性变化的原因及主要季节；</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4.了解对流层气温的变化规律；</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5.理解高山反季节植物生产的原理；</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6.掌握逆温的概念和逆温现象在农业生产上的应用；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7.理解植物生长的五基点温度；</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8.掌握植物生长的三基点温度，以及农业界限温度概念及指标；</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9.掌握积温、活动积温、有效积温的概念，以及积温的表示方法；</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10.理解积温在农业生产中的应用。</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（二）植物生产的温度调控 </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1.了解植物的感温性和植物的温周期现象；</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2.理解土壤温度、空气温度对植物生长发育的影响；</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3.掌握一般条件下、设施条件下温度的调控技术。</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七、植物生产与农业气象</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（一）植物生产的气象条件</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1.理解影响农业生产的光、温、降水、风等主要气象要素；</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2.了解我国农业气象灾害的特点，以及福建省主要的农业气象灾害；</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3.了解寒潮、霜冻、冻害、冷害、热害等极端温度造成的危害；</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4.理解寒潮、霜冻、冻害、冷害、热害等灾害的防御措施；</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5.理解台风、雨涝、秋季低温连阴雨、寒露风、冰雹等灾害的危害及其防御措施。</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（二）气候与农业小气候 </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1.了解天气系统的概念；</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2.掌握我国气候的显著特点；</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3.掌握气候、小气候的概念，以及小气候的特点；</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4.理解绿水青山就是金山银山的含义；</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5.掌握二十四节气的划分及含义；</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6.了解二十四节气与植物生产的关系。</w:t>
      </w:r>
    </w:p>
    <w:p>
      <w:pPr>
        <w:keepNext w:val="0"/>
        <w:keepLines w:val="0"/>
        <w:pageBreakBefore w:val="0"/>
        <w:widowControl/>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bCs/>
          <w:color w:val="000000"/>
          <w:sz w:val="24"/>
          <w:szCs w:val="24"/>
        </w:rPr>
      </w:pPr>
    </w:p>
    <w:p>
      <w:pPr>
        <w:pStyle w:val="10"/>
        <w:keepNext w:val="0"/>
        <w:keepLines w:val="0"/>
        <w:pageBreakBefore w:val="0"/>
        <w:kinsoku/>
        <w:wordWrap/>
        <w:overflowPunct/>
        <w:topLinePunct w:val="0"/>
        <w:autoSpaceDE/>
        <w:bidi w:val="0"/>
        <w:adjustRightInd/>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Ⅲ.考试形式及试卷结构</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eastAsia="宋体" w:cs="宋体"/>
          <w:sz w:val="24"/>
          <w:szCs w:val="24"/>
          <w:lang w:eastAsia="zh-CN"/>
        </w:rPr>
        <w:t>、</w:t>
      </w:r>
      <w:r>
        <w:rPr>
          <w:rFonts w:hint="eastAsia" w:ascii="宋体" w:hAnsi="宋体" w:eastAsia="宋体" w:cs="宋体"/>
          <w:sz w:val="24"/>
          <w:szCs w:val="24"/>
        </w:rPr>
        <w:t>考试形式</w:t>
      </w:r>
    </w:p>
    <w:p>
      <w:pPr>
        <w:keepNext w:val="0"/>
        <w:keepLines w:val="0"/>
        <w:pageBreakBefore w:val="0"/>
        <w:kinsoku/>
        <w:wordWrap/>
        <w:overflowPunct/>
        <w:topLinePunct w:val="0"/>
        <w:autoSpaceDE/>
        <w:bidi w:val="0"/>
        <w:adjustRightInd/>
        <w:spacing w:line="480" w:lineRule="exact"/>
        <w:ind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1.考试采用闭卷、笔试形式；</w:t>
      </w:r>
    </w:p>
    <w:p>
      <w:pPr>
        <w:keepNext w:val="0"/>
        <w:keepLines w:val="0"/>
        <w:pageBreakBefore w:val="0"/>
        <w:kinsoku/>
        <w:wordWrap/>
        <w:overflowPunct/>
        <w:topLinePunct w:val="0"/>
        <w:autoSpaceDE/>
        <w:bidi w:val="0"/>
        <w:adjustRightInd/>
        <w:spacing w:line="480" w:lineRule="exact"/>
        <w:ind w:right="0" w:rightChars="0"/>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2.卷Ⅰ（合格性考试）满分为150分</w:t>
      </w:r>
      <w:r>
        <w:rPr>
          <w:rFonts w:hint="eastAsia" w:ascii="宋体" w:hAnsi="宋体" w:cs="宋体"/>
          <w:sz w:val="24"/>
          <w:szCs w:val="24"/>
          <w:lang w:eastAsia="zh-CN"/>
        </w:rPr>
        <w:t>，</w:t>
      </w:r>
      <w:r>
        <w:rPr>
          <w:rFonts w:hint="eastAsia" w:ascii="宋体" w:hAnsi="宋体" w:eastAsia="宋体" w:cs="宋体"/>
          <w:sz w:val="24"/>
          <w:szCs w:val="24"/>
        </w:rPr>
        <w:t>考试时间为90分钟；</w:t>
      </w:r>
    </w:p>
    <w:p>
      <w:pPr>
        <w:keepNext w:val="0"/>
        <w:keepLines w:val="0"/>
        <w:pageBreakBefore w:val="0"/>
        <w:kinsoku/>
        <w:wordWrap/>
        <w:overflowPunct/>
        <w:topLinePunct w:val="0"/>
        <w:autoSpaceDE/>
        <w:bidi w:val="0"/>
        <w:adjustRightInd/>
        <w:spacing w:line="480" w:lineRule="exact"/>
        <w:ind w:right="0" w:rightChars="0"/>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3.卷Ⅱ（等级性考试）满分为100分，考试时间为60分钟</w:t>
      </w:r>
      <w:r>
        <w:rPr>
          <w:rFonts w:hint="eastAsia" w:ascii="宋体" w:hAnsi="宋体" w:eastAsia="宋体" w:cs="宋体"/>
          <w:color w:val="000000"/>
          <w:sz w:val="24"/>
          <w:szCs w:val="24"/>
        </w:rPr>
        <w:t>。</w:t>
      </w:r>
    </w:p>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eastAsia="宋体" w:cs="宋体"/>
          <w:sz w:val="24"/>
          <w:szCs w:val="24"/>
          <w:lang w:eastAsia="zh-CN"/>
        </w:rPr>
        <w:t>、</w:t>
      </w:r>
      <w:r>
        <w:rPr>
          <w:rFonts w:hint="eastAsia" w:ascii="宋体" w:hAnsi="宋体" w:eastAsia="宋体" w:cs="宋体"/>
          <w:sz w:val="24"/>
          <w:szCs w:val="24"/>
        </w:rPr>
        <w:t>内容比例</w:t>
      </w:r>
    </w:p>
    <w:tbl>
      <w:tblPr>
        <w:tblStyle w:val="13"/>
        <w:tblW w:w="8320"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4193"/>
        <w:gridCol w:w="2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1560" w:type="dxa"/>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b/>
                <w:sz w:val="24"/>
                <w:szCs w:val="24"/>
              </w:rPr>
            </w:pPr>
            <w:r>
              <w:rPr>
                <w:rFonts w:hint="eastAsia" w:ascii="宋体" w:hAnsi="宋体" w:eastAsia="宋体" w:cs="宋体"/>
                <w:b/>
                <w:sz w:val="24"/>
                <w:szCs w:val="24"/>
              </w:rPr>
              <w:t>序</w:t>
            </w:r>
            <w:r>
              <w:rPr>
                <w:rFonts w:hint="eastAsia" w:ascii="宋体" w:hAnsi="宋体" w:cs="宋体"/>
                <w:b/>
                <w:sz w:val="24"/>
                <w:szCs w:val="24"/>
                <w:lang w:val="en-US" w:eastAsia="zh-CN"/>
              </w:rPr>
              <w:t xml:space="preserve"> </w:t>
            </w:r>
            <w:r>
              <w:rPr>
                <w:rFonts w:hint="eastAsia" w:ascii="宋体" w:hAnsi="宋体" w:eastAsia="宋体" w:cs="宋体"/>
                <w:b/>
                <w:sz w:val="24"/>
                <w:szCs w:val="24"/>
              </w:rPr>
              <w:t>号</w:t>
            </w:r>
          </w:p>
        </w:tc>
        <w:tc>
          <w:tcPr>
            <w:tcW w:w="4193" w:type="dxa"/>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b/>
                <w:sz w:val="24"/>
                <w:szCs w:val="24"/>
              </w:rPr>
            </w:pPr>
            <w:r>
              <w:rPr>
                <w:rFonts w:hint="eastAsia" w:ascii="宋体" w:hAnsi="宋体" w:eastAsia="宋体" w:cs="宋体"/>
                <w:b/>
                <w:sz w:val="24"/>
                <w:szCs w:val="24"/>
              </w:rPr>
              <w:t>内</w:t>
            </w:r>
            <w:r>
              <w:rPr>
                <w:rFonts w:hint="eastAsia" w:ascii="宋体" w:hAnsi="宋体" w:cs="宋体"/>
                <w:b/>
                <w:sz w:val="24"/>
                <w:szCs w:val="24"/>
                <w:lang w:val="en-US" w:eastAsia="zh-CN"/>
              </w:rPr>
              <w:t xml:space="preserve"> </w:t>
            </w:r>
            <w:r>
              <w:rPr>
                <w:rFonts w:hint="eastAsia" w:ascii="宋体" w:hAnsi="宋体" w:eastAsia="宋体" w:cs="宋体"/>
                <w:b/>
                <w:sz w:val="24"/>
                <w:szCs w:val="24"/>
              </w:rPr>
              <w:t>容</w:t>
            </w:r>
          </w:p>
        </w:tc>
        <w:tc>
          <w:tcPr>
            <w:tcW w:w="2567" w:type="dxa"/>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b/>
                <w:sz w:val="24"/>
                <w:szCs w:val="24"/>
              </w:rPr>
            </w:pPr>
            <w:r>
              <w:rPr>
                <w:rFonts w:hint="eastAsia" w:ascii="宋体" w:hAnsi="宋体" w:eastAsia="宋体" w:cs="宋体"/>
                <w:b/>
                <w:sz w:val="24"/>
                <w:szCs w:val="24"/>
              </w:rPr>
              <w:t>分值比例（约占）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560" w:type="dxa"/>
            <w:vAlign w:val="center"/>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一</w:t>
            </w:r>
          </w:p>
        </w:tc>
        <w:tc>
          <w:tcPr>
            <w:tcW w:w="4193" w:type="dxa"/>
            <w:vAlign w:val="center"/>
          </w:tcPr>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植物生产与环境概述</w:t>
            </w:r>
          </w:p>
        </w:tc>
        <w:tc>
          <w:tcPr>
            <w:tcW w:w="2567" w:type="dxa"/>
            <w:vAlign w:val="center"/>
          </w:tcPr>
          <w:p>
            <w:pPr>
              <w:keepNext w:val="0"/>
              <w:keepLines w:val="0"/>
              <w:pageBreakBefore w:val="0"/>
              <w:kinsoku/>
              <w:wordWrap/>
              <w:overflowPunct/>
              <w:topLinePunct w:val="0"/>
              <w:autoSpaceDE/>
              <w:bidi w:val="0"/>
              <w:adjustRightInd/>
              <w:spacing w:line="520" w:lineRule="exact"/>
              <w:ind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1560" w:type="dxa"/>
            <w:vAlign w:val="center"/>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二</w:t>
            </w:r>
          </w:p>
        </w:tc>
        <w:tc>
          <w:tcPr>
            <w:tcW w:w="4193" w:type="dxa"/>
            <w:vAlign w:val="center"/>
          </w:tcPr>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植物的生长发育</w:t>
            </w:r>
          </w:p>
        </w:tc>
        <w:tc>
          <w:tcPr>
            <w:tcW w:w="2567" w:type="dxa"/>
            <w:vAlign w:val="center"/>
          </w:tcPr>
          <w:p>
            <w:pPr>
              <w:keepNext w:val="0"/>
              <w:keepLines w:val="0"/>
              <w:pageBreakBefore w:val="0"/>
              <w:kinsoku/>
              <w:wordWrap/>
              <w:overflowPunct/>
              <w:topLinePunct w:val="0"/>
              <w:autoSpaceDE/>
              <w:bidi w:val="0"/>
              <w:adjustRightInd/>
              <w:spacing w:line="520" w:lineRule="exact"/>
              <w:ind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560" w:type="dxa"/>
            <w:vAlign w:val="center"/>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三</w:t>
            </w:r>
          </w:p>
        </w:tc>
        <w:tc>
          <w:tcPr>
            <w:tcW w:w="4193" w:type="dxa"/>
            <w:vAlign w:val="center"/>
          </w:tcPr>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植物生产与土壤培肥</w:t>
            </w:r>
          </w:p>
        </w:tc>
        <w:tc>
          <w:tcPr>
            <w:tcW w:w="2567" w:type="dxa"/>
            <w:vAlign w:val="center"/>
          </w:tcPr>
          <w:p>
            <w:pPr>
              <w:keepNext w:val="0"/>
              <w:keepLines w:val="0"/>
              <w:pageBreakBefore w:val="0"/>
              <w:kinsoku/>
              <w:wordWrap/>
              <w:overflowPunct/>
              <w:topLinePunct w:val="0"/>
              <w:autoSpaceDE/>
              <w:bidi w:val="0"/>
              <w:adjustRightInd/>
              <w:spacing w:line="520" w:lineRule="exact"/>
              <w:ind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560" w:type="dxa"/>
            <w:vAlign w:val="center"/>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四</w:t>
            </w:r>
          </w:p>
        </w:tc>
        <w:tc>
          <w:tcPr>
            <w:tcW w:w="4193" w:type="dxa"/>
            <w:vAlign w:val="center"/>
          </w:tcPr>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植物生产与科学用水</w:t>
            </w:r>
          </w:p>
        </w:tc>
        <w:tc>
          <w:tcPr>
            <w:tcW w:w="2567" w:type="dxa"/>
            <w:vAlign w:val="center"/>
          </w:tcPr>
          <w:p>
            <w:pPr>
              <w:keepNext w:val="0"/>
              <w:keepLines w:val="0"/>
              <w:pageBreakBefore w:val="0"/>
              <w:kinsoku/>
              <w:wordWrap/>
              <w:overflowPunct/>
              <w:topLinePunct w:val="0"/>
              <w:autoSpaceDE/>
              <w:bidi w:val="0"/>
              <w:adjustRightInd/>
              <w:spacing w:line="520" w:lineRule="exact"/>
              <w:ind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560" w:type="dxa"/>
            <w:vAlign w:val="center"/>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五</w:t>
            </w:r>
          </w:p>
        </w:tc>
        <w:tc>
          <w:tcPr>
            <w:tcW w:w="4193" w:type="dxa"/>
            <w:vAlign w:val="center"/>
          </w:tcPr>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植物生产与光能利用</w:t>
            </w:r>
          </w:p>
        </w:tc>
        <w:tc>
          <w:tcPr>
            <w:tcW w:w="2567" w:type="dxa"/>
            <w:vAlign w:val="center"/>
          </w:tcPr>
          <w:p>
            <w:pPr>
              <w:keepNext w:val="0"/>
              <w:keepLines w:val="0"/>
              <w:pageBreakBefore w:val="0"/>
              <w:kinsoku/>
              <w:wordWrap/>
              <w:overflowPunct/>
              <w:topLinePunct w:val="0"/>
              <w:autoSpaceDE/>
              <w:bidi w:val="0"/>
              <w:adjustRightInd/>
              <w:spacing w:line="520" w:lineRule="exact"/>
              <w:ind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560" w:type="dxa"/>
            <w:vAlign w:val="center"/>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六</w:t>
            </w:r>
          </w:p>
        </w:tc>
        <w:tc>
          <w:tcPr>
            <w:tcW w:w="4193" w:type="dxa"/>
            <w:vAlign w:val="center"/>
          </w:tcPr>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植物生产与温度调控</w:t>
            </w:r>
          </w:p>
        </w:tc>
        <w:tc>
          <w:tcPr>
            <w:tcW w:w="2567" w:type="dxa"/>
            <w:vAlign w:val="center"/>
          </w:tcPr>
          <w:p>
            <w:pPr>
              <w:keepNext w:val="0"/>
              <w:keepLines w:val="0"/>
              <w:pageBreakBefore w:val="0"/>
              <w:kinsoku/>
              <w:wordWrap/>
              <w:overflowPunct/>
              <w:topLinePunct w:val="0"/>
              <w:autoSpaceDE/>
              <w:bidi w:val="0"/>
              <w:adjustRightInd/>
              <w:spacing w:line="520" w:lineRule="exact"/>
              <w:ind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560" w:type="dxa"/>
            <w:vAlign w:val="center"/>
          </w:tcPr>
          <w:p>
            <w:pPr>
              <w:keepNext w:val="0"/>
              <w:keepLines w:val="0"/>
              <w:pageBreakBefore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七</w:t>
            </w:r>
          </w:p>
        </w:tc>
        <w:tc>
          <w:tcPr>
            <w:tcW w:w="4193" w:type="dxa"/>
            <w:vAlign w:val="center"/>
          </w:tcPr>
          <w:p>
            <w:pPr>
              <w:keepNext w:val="0"/>
              <w:keepLines w:val="0"/>
              <w:pageBreakBefore w:val="0"/>
              <w:kinsoku/>
              <w:wordWrap/>
              <w:overflowPunct/>
              <w:topLinePunct w:val="0"/>
              <w:autoSpaceDE/>
              <w:bidi w:val="0"/>
              <w:adjustRightInd/>
              <w:spacing w:line="520" w:lineRule="exact"/>
              <w:ind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植物生产与农业气象</w:t>
            </w:r>
          </w:p>
        </w:tc>
        <w:tc>
          <w:tcPr>
            <w:tcW w:w="2567" w:type="dxa"/>
            <w:vAlign w:val="center"/>
          </w:tcPr>
          <w:p>
            <w:pPr>
              <w:keepNext w:val="0"/>
              <w:keepLines w:val="0"/>
              <w:pageBreakBefore w:val="0"/>
              <w:kinsoku/>
              <w:wordWrap/>
              <w:overflowPunct/>
              <w:topLinePunct w:val="0"/>
              <w:autoSpaceDE/>
              <w:bidi w:val="0"/>
              <w:adjustRightInd/>
              <w:spacing w:line="520" w:lineRule="exact"/>
              <w:ind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p>
        </w:tc>
      </w:tr>
    </w:tbl>
    <w:p>
      <w:pPr>
        <w:pStyle w:val="2"/>
        <w:keepNext w:val="0"/>
        <w:keepLines w:val="0"/>
        <w:pageBreakBefore w:val="0"/>
        <w:kinsoku/>
        <w:wordWrap/>
        <w:overflowPunct/>
        <w:topLinePunct w:val="0"/>
        <w:autoSpaceDE/>
        <w:bidi w:val="0"/>
        <w:adjustRightInd/>
        <w:ind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eastAsia="宋体" w:cs="宋体"/>
          <w:sz w:val="24"/>
          <w:szCs w:val="24"/>
          <w:lang w:eastAsia="zh-CN"/>
        </w:rPr>
        <w:t>、</w:t>
      </w:r>
      <w:r>
        <w:rPr>
          <w:rFonts w:hint="eastAsia" w:ascii="宋体" w:hAnsi="宋体" w:eastAsia="宋体" w:cs="宋体"/>
          <w:sz w:val="24"/>
          <w:szCs w:val="24"/>
        </w:rPr>
        <w:t>考试题型</w:t>
      </w:r>
    </w:p>
    <w:p>
      <w:pPr>
        <w:keepNext w:val="0"/>
        <w:keepLines w:val="0"/>
        <w:pageBreakBefore w:val="0"/>
        <w:kinsoku/>
        <w:wordWrap/>
        <w:overflowPunct/>
        <w:topLinePunct w:val="0"/>
        <w:autoSpaceDE/>
        <w:bidi w:val="0"/>
        <w:adjustRightInd/>
        <w:spacing w:line="360" w:lineRule="auto"/>
        <w:ind w:right="0" w:rightChars="0" w:firstLine="480" w:firstLineChars="200"/>
        <w:textAlignment w:val="auto"/>
        <w:rPr>
          <w:rFonts w:hint="eastAsia" w:ascii="宋体" w:hAnsi="宋体" w:eastAsia="宋体" w:cs="宋体"/>
          <w:b/>
          <w:bCs/>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卷Ⅰ（合格性考试）</w:t>
      </w:r>
      <w:r>
        <w:rPr>
          <w:rFonts w:hint="eastAsia" w:ascii="宋体" w:hAnsi="宋体" w:eastAsia="宋体" w:cs="宋体"/>
          <w:sz w:val="24"/>
          <w:szCs w:val="24"/>
        </w:rPr>
        <w:t>包括单项选择题、判断题和连线题等题型；</w:t>
      </w:r>
    </w:p>
    <w:p>
      <w:pPr>
        <w:keepNext w:val="0"/>
        <w:keepLines w:val="0"/>
        <w:pageBreakBefore w:val="0"/>
        <w:kinsoku/>
        <w:wordWrap/>
        <w:overflowPunct/>
        <w:topLinePunct w:val="0"/>
        <w:autoSpaceDE/>
        <w:bidi w:val="0"/>
        <w:adjustRightInd/>
        <w:spacing w:line="360" w:lineRule="auto"/>
        <w:ind w:right="0" w:rightChars="0" w:firstLine="480" w:firstLineChars="200"/>
        <w:textAlignment w:val="auto"/>
        <w:rPr>
          <w:rFonts w:hint="eastAsia" w:ascii="宋体" w:hAnsi="宋体" w:eastAsia="宋体" w:cs="宋体"/>
          <w:b/>
          <w:bCs/>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卷Ⅱ（等级性考试）</w:t>
      </w:r>
      <w:r>
        <w:rPr>
          <w:rFonts w:hint="eastAsia" w:ascii="宋体" w:hAnsi="宋体" w:eastAsia="宋体" w:cs="宋体"/>
          <w:sz w:val="24"/>
          <w:szCs w:val="24"/>
        </w:rPr>
        <w:t>包括多项选择题、简答题和论述题等题型。</w:t>
      </w:r>
    </w:p>
    <w:sectPr>
      <w:footerReference r:id="rId3" w:type="default"/>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joinstyle="miter"/>
          <v:imagedata o:title=""/>
          <o:lock v:ext="edit"/>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0C82B68"/>
    <w:rsid w:val="00010C1C"/>
    <w:rsid w:val="000124F6"/>
    <w:rsid w:val="00035E66"/>
    <w:rsid w:val="00093C2C"/>
    <w:rsid w:val="0009696E"/>
    <w:rsid w:val="000B79B0"/>
    <w:rsid w:val="00132B86"/>
    <w:rsid w:val="00132BD5"/>
    <w:rsid w:val="00142C1B"/>
    <w:rsid w:val="00180693"/>
    <w:rsid w:val="00185152"/>
    <w:rsid w:val="001A499E"/>
    <w:rsid w:val="001F514C"/>
    <w:rsid w:val="002108B5"/>
    <w:rsid w:val="002959BF"/>
    <w:rsid w:val="002B4F51"/>
    <w:rsid w:val="00307C9F"/>
    <w:rsid w:val="00331046"/>
    <w:rsid w:val="003374A0"/>
    <w:rsid w:val="00337EC1"/>
    <w:rsid w:val="0034559C"/>
    <w:rsid w:val="00352000"/>
    <w:rsid w:val="00380AD7"/>
    <w:rsid w:val="00382A9D"/>
    <w:rsid w:val="003B3B36"/>
    <w:rsid w:val="003E146C"/>
    <w:rsid w:val="00470F05"/>
    <w:rsid w:val="004A5258"/>
    <w:rsid w:val="004B18ED"/>
    <w:rsid w:val="005008C0"/>
    <w:rsid w:val="00500E40"/>
    <w:rsid w:val="0052621F"/>
    <w:rsid w:val="00551C0D"/>
    <w:rsid w:val="00553EDA"/>
    <w:rsid w:val="00572BF1"/>
    <w:rsid w:val="0059092D"/>
    <w:rsid w:val="005A65EC"/>
    <w:rsid w:val="005C36EE"/>
    <w:rsid w:val="005D10E8"/>
    <w:rsid w:val="005D6B9B"/>
    <w:rsid w:val="0060457E"/>
    <w:rsid w:val="00682A4B"/>
    <w:rsid w:val="006A6378"/>
    <w:rsid w:val="006C4528"/>
    <w:rsid w:val="006E378D"/>
    <w:rsid w:val="006E73C6"/>
    <w:rsid w:val="00711B40"/>
    <w:rsid w:val="00720957"/>
    <w:rsid w:val="00747600"/>
    <w:rsid w:val="00793F26"/>
    <w:rsid w:val="00825215"/>
    <w:rsid w:val="00826B5A"/>
    <w:rsid w:val="0086501D"/>
    <w:rsid w:val="008741A4"/>
    <w:rsid w:val="008C2403"/>
    <w:rsid w:val="008F6BED"/>
    <w:rsid w:val="00935293"/>
    <w:rsid w:val="00985B89"/>
    <w:rsid w:val="009A582F"/>
    <w:rsid w:val="009D5959"/>
    <w:rsid w:val="009E2DCC"/>
    <w:rsid w:val="009F3162"/>
    <w:rsid w:val="00A15A1A"/>
    <w:rsid w:val="00A84A36"/>
    <w:rsid w:val="00AD529A"/>
    <w:rsid w:val="00B4087D"/>
    <w:rsid w:val="00B652E2"/>
    <w:rsid w:val="00B87682"/>
    <w:rsid w:val="00B90C97"/>
    <w:rsid w:val="00BC18E2"/>
    <w:rsid w:val="00C11A97"/>
    <w:rsid w:val="00C256EA"/>
    <w:rsid w:val="00C44B99"/>
    <w:rsid w:val="00C57E01"/>
    <w:rsid w:val="00C70FED"/>
    <w:rsid w:val="00C764D4"/>
    <w:rsid w:val="00C87667"/>
    <w:rsid w:val="00C9239F"/>
    <w:rsid w:val="00C94EB0"/>
    <w:rsid w:val="00CC389D"/>
    <w:rsid w:val="00CD3479"/>
    <w:rsid w:val="00CE149D"/>
    <w:rsid w:val="00CE32E6"/>
    <w:rsid w:val="00CE7734"/>
    <w:rsid w:val="00CF0329"/>
    <w:rsid w:val="00D12E13"/>
    <w:rsid w:val="00D207A5"/>
    <w:rsid w:val="00E310D4"/>
    <w:rsid w:val="00E81025"/>
    <w:rsid w:val="00E816FB"/>
    <w:rsid w:val="00EA1A1F"/>
    <w:rsid w:val="00EA20FB"/>
    <w:rsid w:val="00EE41B7"/>
    <w:rsid w:val="00F355C9"/>
    <w:rsid w:val="00F70AC8"/>
    <w:rsid w:val="00F954C4"/>
    <w:rsid w:val="00FB293C"/>
    <w:rsid w:val="00FF50A7"/>
    <w:rsid w:val="0196748C"/>
    <w:rsid w:val="03012B45"/>
    <w:rsid w:val="03280903"/>
    <w:rsid w:val="035B3F9E"/>
    <w:rsid w:val="04B77079"/>
    <w:rsid w:val="04BC3A73"/>
    <w:rsid w:val="08A8563D"/>
    <w:rsid w:val="097763FB"/>
    <w:rsid w:val="0B842C14"/>
    <w:rsid w:val="0B9747AF"/>
    <w:rsid w:val="112744BF"/>
    <w:rsid w:val="123B35A6"/>
    <w:rsid w:val="137E0DF8"/>
    <w:rsid w:val="138C1844"/>
    <w:rsid w:val="155A1B41"/>
    <w:rsid w:val="16B8006D"/>
    <w:rsid w:val="19106112"/>
    <w:rsid w:val="1A2E13A4"/>
    <w:rsid w:val="1A53230D"/>
    <w:rsid w:val="1BD57268"/>
    <w:rsid w:val="1E510A2A"/>
    <w:rsid w:val="1EAE5972"/>
    <w:rsid w:val="20E13A97"/>
    <w:rsid w:val="25877604"/>
    <w:rsid w:val="26326BE8"/>
    <w:rsid w:val="264B15EB"/>
    <w:rsid w:val="29CC726D"/>
    <w:rsid w:val="2B06550B"/>
    <w:rsid w:val="2B8F07B8"/>
    <w:rsid w:val="2FA242E7"/>
    <w:rsid w:val="30043315"/>
    <w:rsid w:val="30EF13ED"/>
    <w:rsid w:val="317924FD"/>
    <w:rsid w:val="326D7A39"/>
    <w:rsid w:val="33862ED8"/>
    <w:rsid w:val="33C9287E"/>
    <w:rsid w:val="3429441A"/>
    <w:rsid w:val="34734C77"/>
    <w:rsid w:val="349964B3"/>
    <w:rsid w:val="3678015B"/>
    <w:rsid w:val="3C2B3392"/>
    <w:rsid w:val="3D2E6F4B"/>
    <w:rsid w:val="3FAA39D7"/>
    <w:rsid w:val="402A573F"/>
    <w:rsid w:val="40BF62FF"/>
    <w:rsid w:val="41AC1EE8"/>
    <w:rsid w:val="425E12D8"/>
    <w:rsid w:val="44186069"/>
    <w:rsid w:val="49722A86"/>
    <w:rsid w:val="49B44A75"/>
    <w:rsid w:val="49E80A87"/>
    <w:rsid w:val="4CBF3F0A"/>
    <w:rsid w:val="4DBF754E"/>
    <w:rsid w:val="4E257206"/>
    <w:rsid w:val="4F940257"/>
    <w:rsid w:val="52D45107"/>
    <w:rsid w:val="54EE5378"/>
    <w:rsid w:val="5A9D03CE"/>
    <w:rsid w:val="5AC82806"/>
    <w:rsid w:val="5C5B19F5"/>
    <w:rsid w:val="5D1F4444"/>
    <w:rsid w:val="5D452A59"/>
    <w:rsid w:val="5D835B90"/>
    <w:rsid w:val="5EF2347F"/>
    <w:rsid w:val="5F3E3D36"/>
    <w:rsid w:val="5F9610D9"/>
    <w:rsid w:val="619A7123"/>
    <w:rsid w:val="62F91044"/>
    <w:rsid w:val="64465340"/>
    <w:rsid w:val="65645501"/>
    <w:rsid w:val="69D71EFC"/>
    <w:rsid w:val="6A6A3493"/>
    <w:rsid w:val="6ED87541"/>
    <w:rsid w:val="6F3339B5"/>
    <w:rsid w:val="6FBB14D9"/>
    <w:rsid w:val="70C82B68"/>
    <w:rsid w:val="739D4941"/>
    <w:rsid w:val="76586732"/>
    <w:rsid w:val="77166813"/>
    <w:rsid w:val="791A1D64"/>
    <w:rsid w:val="7C670F4F"/>
    <w:rsid w:val="7D6C0FEF"/>
    <w:rsid w:val="7D6F4E30"/>
    <w:rsid w:val="7E865064"/>
    <w:rsid w:val="7F192B0B"/>
    <w:rsid w:val="7FA951DD"/>
  </w:rsids>
  <m:mathPr>
    <m:lMargin m:val="0"/>
    <m:mathFont m:val="Cambria Math"/>
    <m:rMargin m:val="0"/>
    <m:wrapIndent m:val="1440"/>
    <m:brkBin m:val="before"/>
    <m:brkBinSub m:val="--"/>
    <m:defJc m:val="centerGroup"/>
    <m:intLim m:val="subSup"/>
    <m:naryLim m:val="undOvr"/>
    <m:smallFrac m:val=""/>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99"/>
    <w:pPr>
      <w:widowControl/>
      <w:spacing w:line="520" w:lineRule="exact"/>
      <w:outlineLvl w:val="0"/>
    </w:pPr>
    <w:rPr>
      <w:rFonts w:ascii="仿宋_GB2312" w:hAnsi="宋体" w:eastAsia="仿宋_GB2312"/>
      <w:b/>
      <w:color w:val="000000"/>
      <w:kern w:val="0"/>
      <w:sz w:val="28"/>
      <w:szCs w:val="28"/>
    </w:rPr>
  </w:style>
  <w:style w:type="paragraph" w:styleId="3">
    <w:name w:val="heading 2"/>
    <w:basedOn w:val="1"/>
    <w:next w:val="1"/>
    <w:link w:val="15"/>
    <w:qFormat/>
    <w:uiPriority w:val="99"/>
    <w:pPr>
      <w:widowControl/>
      <w:spacing w:line="520" w:lineRule="exact"/>
      <w:ind w:firstLine="560" w:firstLineChars="200"/>
      <w:outlineLvl w:val="1"/>
    </w:pPr>
    <w:rPr>
      <w:rFonts w:ascii="仿宋_GB2312" w:hAnsi="宋体" w:eastAsia="仿宋_GB2312"/>
      <w:bCs/>
      <w:color w:val="000000"/>
      <w:sz w:val="28"/>
      <w:szCs w:val="28"/>
    </w:rPr>
  </w:style>
  <w:style w:type="paragraph" w:styleId="4">
    <w:name w:val="heading 3"/>
    <w:basedOn w:val="1"/>
    <w:next w:val="1"/>
    <w:link w:val="16"/>
    <w:qFormat/>
    <w:uiPriority w:val="99"/>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2"/>
    <w:qFormat/>
    <w:uiPriority w:val="99"/>
    <w:rPr>
      <w:rFonts w:ascii="Times New Roman" w:hAnsi="Times New Roman"/>
      <w:b/>
      <w:bCs/>
      <w:kern w:val="2"/>
      <w:sz w:val="21"/>
    </w:rPr>
  </w:style>
  <w:style w:type="paragraph" w:styleId="6">
    <w:name w:val="annotation text"/>
    <w:basedOn w:val="1"/>
    <w:link w:val="17"/>
    <w:semiHidden/>
    <w:uiPriority w:val="99"/>
    <w:pPr>
      <w:jc w:val="left"/>
    </w:pPr>
    <w:rPr>
      <w:rFonts w:ascii="宋体" w:hAnsi="宋体"/>
      <w:kern w:val="0"/>
      <w:sz w:val="20"/>
    </w:rPr>
  </w:style>
  <w:style w:type="paragraph" w:styleId="7">
    <w:name w:val="Balloon Text"/>
    <w:basedOn w:val="1"/>
    <w:link w:val="23"/>
    <w:qFormat/>
    <w:uiPriority w:val="99"/>
    <w:rPr>
      <w:sz w:val="18"/>
      <w:szCs w:val="18"/>
    </w:rPr>
  </w:style>
  <w:style w:type="paragraph" w:styleId="8">
    <w:name w:val="footer"/>
    <w:basedOn w:val="1"/>
    <w:link w:val="18"/>
    <w:qFormat/>
    <w:uiPriority w:val="99"/>
    <w:pPr>
      <w:tabs>
        <w:tab w:val="center" w:pos="4153"/>
        <w:tab w:val="right" w:pos="8306"/>
      </w:tabs>
      <w:snapToGrid w:val="0"/>
      <w:jc w:val="left"/>
    </w:pPr>
    <w:rPr>
      <w:sz w:val="18"/>
    </w:rPr>
  </w:style>
  <w:style w:type="paragraph" w:styleId="9">
    <w:name w:val="header"/>
    <w:basedOn w:val="1"/>
    <w:link w:val="1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itle"/>
    <w:basedOn w:val="6"/>
    <w:next w:val="1"/>
    <w:link w:val="20"/>
    <w:qFormat/>
    <w:uiPriority w:val="99"/>
    <w:pPr>
      <w:spacing w:line="520" w:lineRule="exact"/>
      <w:jc w:val="center"/>
    </w:pPr>
    <w:rPr>
      <w:rFonts w:ascii="仿宋_GB2312" w:eastAsia="仿宋_GB2312"/>
      <w:b/>
      <w:sz w:val="28"/>
      <w:szCs w:val="28"/>
    </w:rPr>
  </w:style>
  <w:style w:type="character" w:styleId="12">
    <w:name w:val="annotation reference"/>
    <w:basedOn w:val="11"/>
    <w:qFormat/>
    <w:uiPriority w:val="99"/>
    <w:rPr>
      <w:rFonts w:cs="Times New Roman"/>
      <w:sz w:val="21"/>
      <w:szCs w:val="21"/>
    </w:rPr>
  </w:style>
  <w:style w:type="character" w:customStyle="1" w:styleId="14">
    <w:name w:val="标题 1 Char"/>
    <w:basedOn w:val="11"/>
    <w:link w:val="2"/>
    <w:qFormat/>
    <w:locked/>
    <w:uiPriority w:val="99"/>
    <w:rPr>
      <w:rFonts w:ascii="仿宋_GB2312" w:hAnsi="宋体" w:eastAsia="仿宋_GB2312"/>
      <w:b/>
      <w:color w:val="000000"/>
      <w:sz w:val="28"/>
    </w:rPr>
  </w:style>
  <w:style w:type="character" w:customStyle="1" w:styleId="15">
    <w:name w:val="标题 2 Char"/>
    <w:basedOn w:val="11"/>
    <w:link w:val="3"/>
    <w:qFormat/>
    <w:locked/>
    <w:uiPriority w:val="99"/>
    <w:rPr>
      <w:rFonts w:ascii="仿宋_GB2312" w:hAnsi="宋体" w:eastAsia="仿宋_GB2312"/>
      <w:color w:val="000000"/>
      <w:kern w:val="2"/>
      <w:sz w:val="28"/>
    </w:rPr>
  </w:style>
  <w:style w:type="character" w:customStyle="1" w:styleId="16">
    <w:name w:val="标题 3 Char"/>
    <w:basedOn w:val="11"/>
    <w:link w:val="4"/>
    <w:semiHidden/>
    <w:qFormat/>
    <w:uiPriority w:val="9"/>
    <w:rPr>
      <w:b/>
      <w:bCs/>
      <w:sz w:val="32"/>
      <w:szCs w:val="32"/>
    </w:rPr>
  </w:style>
  <w:style w:type="character" w:customStyle="1" w:styleId="17">
    <w:name w:val="批注文字 Char"/>
    <w:basedOn w:val="11"/>
    <w:link w:val="6"/>
    <w:semiHidden/>
    <w:qFormat/>
    <w:locked/>
    <w:uiPriority w:val="99"/>
    <w:rPr>
      <w:rFonts w:ascii="宋体" w:eastAsia="宋体"/>
      <w:sz w:val="24"/>
    </w:rPr>
  </w:style>
  <w:style w:type="character" w:customStyle="1" w:styleId="18">
    <w:name w:val="页脚 Char"/>
    <w:basedOn w:val="11"/>
    <w:link w:val="8"/>
    <w:semiHidden/>
    <w:qFormat/>
    <w:uiPriority w:val="99"/>
    <w:rPr>
      <w:sz w:val="18"/>
      <w:szCs w:val="18"/>
    </w:rPr>
  </w:style>
  <w:style w:type="character" w:customStyle="1" w:styleId="19">
    <w:name w:val="页眉 Char"/>
    <w:basedOn w:val="11"/>
    <w:link w:val="9"/>
    <w:semiHidden/>
    <w:qFormat/>
    <w:uiPriority w:val="99"/>
    <w:rPr>
      <w:sz w:val="18"/>
      <w:szCs w:val="18"/>
    </w:rPr>
  </w:style>
  <w:style w:type="character" w:customStyle="1" w:styleId="20">
    <w:name w:val="标题 Char"/>
    <w:basedOn w:val="11"/>
    <w:link w:val="10"/>
    <w:qFormat/>
    <w:locked/>
    <w:uiPriority w:val="99"/>
    <w:rPr>
      <w:rFonts w:ascii="仿宋_GB2312" w:hAnsi="宋体" w:eastAsia="仿宋_GB2312"/>
      <w:b/>
      <w:sz w:val="28"/>
    </w:rPr>
  </w:style>
  <w:style w:type="paragraph" w:customStyle="1" w:styleId="21">
    <w:name w:val="列出段落1"/>
    <w:basedOn w:val="1"/>
    <w:qFormat/>
    <w:uiPriority w:val="99"/>
    <w:pPr>
      <w:ind w:firstLine="420" w:firstLineChars="200"/>
    </w:pPr>
  </w:style>
  <w:style w:type="character" w:customStyle="1" w:styleId="22">
    <w:name w:val="批注主题 Char"/>
    <w:basedOn w:val="17"/>
    <w:link w:val="5"/>
    <w:qFormat/>
    <w:locked/>
    <w:uiPriority w:val="99"/>
    <w:rPr>
      <w:rFonts w:cs="Times New Roman"/>
      <w:b/>
      <w:bCs/>
      <w:kern w:val="2"/>
      <w:szCs w:val="24"/>
    </w:rPr>
  </w:style>
  <w:style w:type="character" w:customStyle="1" w:styleId="23">
    <w:name w:val="批注框文本 Char"/>
    <w:basedOn w:val="11"/>
    <w:link w:val="7"/>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8</Pages>
  <Words>574</Words>
  <Characters>3276</Characters>
  <Lines>27</Lines>
  <Paragraphs>7</Paragraphs>
  <ScaleCrop>false</ScaleCrop>
  <LinksUpToDate>false</LinksUpToDate>
  <CharactersWithSpaces>3843</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2021-01-12T02:13:00Z</dcterms:created>
  <dc:creator>hhqzy</dc:creator>
  <cp:lastModifiedBy>7】；‘</cp:lastModifiedBy>
  <cp:lastPrinted>2021-01-12T02:13:00Z</cp:lastPrinted>
  <dcterms:modified xsi:type="dcterms:W3CDTF">2021-01-29T08:08:27Z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