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exact"/>
        <w:jc w:val="center"/>
        <w:rPr>
          <w:rFonts w:hint="eastAsia" w:ascii="黑体" w:hAnsi="黑体" w:eastAsia="黑体" w:cs="黑体"/>
          <w:b/>
          <w:bCs w:val="0"/>
          <w:color w:val="000000"/>
          <w:spacing w:val="20"/>
          <w:sz w:val="32"/>
          <w:szCs w:val="32"/>
        </w:rPr>
      </w:pPr>
      <w:r>
        <w:rPr>
          <w:rFonts w:hint="eastAsia" w:ascii="黑体" w:hAnsi="黑体" w:eastAsia="黑体" w:cs="黑体"/>
          <w:b/>
          <w:bCs w:val="0"/>
          <w:color w:val="000000"/>
          <w:spacing w:val="20"/>
          <w:sz w:val="32"/>
          <w:szCs w:val="32"/>
        </w:rPr>
        <w:t>福建省中等职业学校学业水平考试</w:t>
      </w:r>
    </w:p>
    <w:p>
      <w:pPr>
        <w:spacing w:line="360" w:lineRule="exact"/>
        <w:jc w:val="center"/>
        <w:rPr>
          <w:rFonts w:hint="eastAsia" w:ascii="黑体" w:hAnsi="黑体" w:eastAsia="黑体" w:cs="黑体"/>
          <w:b w:val="0"/>
          <w:bCs/>
          <w:color w:val="000000"/>
          <w:sz w:val="32"/>
          <w:szCs w:val="32"/>
        </w:rPr>
      </w:pPr>
      <w:r>
        <w:rPr>
          <w:rFonts w:hint="eastAsia" w:ascii="黑体" w:hAnsi="黑体" w:eastAsia="黑体" w:cs="黑体"/>
          <w:b/>
          <w:bCs w:val="0"/>
          <w:color w:val="000000"/>
          <w:sz w:val="32"/>
          <w:szCs w:val="32"/>
        </w:rPr>
        <w:t>《</w:t>
      </w:r>
      <w:r>
        <w:rPr>
          <w:rFonts w:hint="eastAsia" w:ascii="黑体" w:hAnsi="黑体" w:eastAsia="黑体" w:cs="黑体"/>
          <w:b/>
          <w:bCs w:val="0"/>
          <w:color w:val="000000"/>
          <w:spacing w:val="20"/>
          <w:sz w:val="32"/>
          <w:szCs w:val="32"/>
        </w:rPr>
        <w:t>市场营销基础</w:t>
      </w:r>
      <w:r>
        <w:rPr>
          <w:rFonts w:hint="eastAsia" w:ascii="黑体" w:hAnsi="黑体" w:eastAsia="黑体" w:cs="黑体"/>
          <w:b/>
          <w:bCs w:val="0"/>
          <w:color w:val="000000"/>
          <w:sz w:val="32"/>
          <w:szCs w:val="32"/>
        </w:rPr>
        <w:t>》课程考试大纲</w:t>
      </w:r>
    </w:p>
    <w:p>
      <w:pPr>
        <w:autoSpaceDN w:val="0"/>
        <w:snapToGrid w:val="0"/>
        <w:spacing w:line="520" w:lineRule="exact"/>
        <w:ind w:firstLine="560" w:firstLineChars="200"/>
        <w:jc w:val="left"/>
        <w:rPr>
          <w:rFonts w:ascii="方正小标宋_GBK" w:hAnsi="仿宋" w:eastAsia="方正小标宋_GBK"/>
          <w:b/>
          <w:color w:val="000000"/>
          <w:sz w:val="28"/>
          <w:szCs w:val="28"/>
        </w:rPr>
      </w:pPr>
    </w:p>
    <w:p>
      <w:pPr>
        <w:autoSpaceDN w:val="0"/>
        <w:snapToGrid w:val="0"/>
        <w:spacing w:line="520" w:lineRule="exact"/>
        <w:ind w:firstLine="560" w:firstLineChars="200"/>
        <w:jc w:val="left"/>
        <w:rPr>
          <w:rFonts w:hint="eastAsia" w:asciiTheme="minorEastAsia" w:hAnsiTheme="minorEastAsia" w:eastAsiaTheme="minorEastAsia" w:cstheme="minorEastAsia"/>
          <w:color w:val="000000"/>
          <w:sz w:val="24"/>
          <w:szCs w:val="24"/>
        </w:rPr>
      </w:pPr>
      <w:r>
        <w:rPr>
          <w:rFonts w:hint="eastAsia" w:ascii="宋体" w:hAnsi="宋体" w:eastAsia="宋体" w:cs="宋体"/>
          <w:color w:val="000000"/>
          <w:sz w:val="24"/>
          <w:szCs w:val="24"/>
        </w:rPr>
        <w:t>本考试大纲以教育部《中等职业学校专业教学标准》为指导，</w:t>
      </w:r>
      <w:r>
        <w:rPr>
          <w:rFonts w:hint="eastAsia" w:asciiTheme="minorEastAsia" w:hAnsiTheme="minorEastAsia" w:eastAsiaTheme="minorEastAsia" w:cstheme="minorEastAsia"/>
          <w:color w:val="000000"/>
          <w:sz w:val="24"/>
          <w:szCs w:val="24"/>
        </w:rPr>
        <w:t>结合我省中职学校《市场营销基础》课程教学的实际情况而制定。</w:t>
      </w:r>
    </w:p>
    <w:p>
      <w:pPr>
        <w:spacing w:line="596" w:lineRule="exact"/>
        <w:rPr>
          <w:rFonts w:hint="eastAsia" w:asciiTheme="minorEastAsia" w:hAnsiTheme="minorEastAsia" w:eastAsiaTheme="minorEastAsia" w:cstheme="minorEastAsia"/>
          <w:color w:val="000000"/>
          <w:sz w:val="24"/>
          <w:szCs w:val="24"/>
        </w:rPr>
      </w:pPr>
    </w:p>
    <w:p>
      <w:pPr>
        <w:pStyle w:val="3"/>
        <w:spacing w:line="520" w:lineRule="exact"/>
        <w:jc w:val="center"/>
        <w:rPr>
          <w:rFonts w:hint="eastAsia" w:asciiTheme="minorEastAsia" w:hAnsiTheme="minorEastAsia" w:eastAsiaTheme="minorEastAsia" w:cstheme="minorEastAsia"/>
          <w:b/>
          <w:bCs/>
          <w:color w:val="000000"/>
          <w:sz w:val="24"/>
          <w:szCs w:val="24"/>
        </w:rPr>
      </w:pPr>
      <w:r>
        <w:rPr>
          <w:rFonts w:hint="eastAsia" w:ascii="宋体" w:hAnsi="宋体" w:eastAsia="宋体" w:cs="宋体"/>
          <w:b/>
          <w:bCs/>
          <w:color w:val="auto"/>
          <w:sz w:val="24"/>
          <w:szCs w:val="24"/>
        </w:rPr>
        <w:t>Ⅰ.</w:t>
      </w:r>
      <w:r>
        <w:rPr>
          <w:rFonts w:hint="eastAsia" w:asciiTheme="minorEastAsia" w:hAnsiTheme="minorEastAsia" w:eastAsiaTheme="minorEastAsia" w:cstheme="minorEastAsia"/>
          <w:b/>
          <w:bCs/>
          <w:color w:val="000000"/>
          <w:sz w:val="24"/>
          <w:szCs w:val="24"/>
        </w:rPr>
        <w:t>考试目标与要求</w:t>
      </w:r>
    </w:p>
    <w:p>
      <w:pPr>
        <w:spacing w:line="520" w:lineRule="exact"/>
        <w:ind w:firstLine="56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《市场营销基础》课程主要考查学生对市场营销基础知识的认知程度和运用知识分析问题、解决问题的能力，能达到职业岗位能力的基本要求。考试目标与要求如下：</w:t>
      </w:r>
    </w:p>
    <w:p>
      <w:pPr>
        <w:spacing w:line="520" w:lineRule="exact"/>
        <w:ind w:firstLine="56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1.了解层次：要求对某一概念、知识内容，能够准确再认、再现，具有初步识别、辨认事实或正确描述对象的基本特征的能力，即知道“是什么”。</w:t>
      </w:r>
    </w:p>
    <w:p>
      <w:pPr>
        <w:spacing w:line="520" w:lineRule="exact"/>
        <w:ind w:firstLine="56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2.理解层次：要求对某一概念、知识内容，在了解基础上，能够深刻领会相关知识、原理、方法，并借此解释、推断、分析现象，辨明正误，即明白“为什么”。</w:t>
      </w:r>
    </w:p>
    <w:p>
      <w:pPr>
        <w:spacing w:line="520" w:lineRule="exact"/>
        <w:ind w:firstLine="560" w:firstLine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3.掌握层次：要求能够灵活运用相关原理、法则和方法，综合分析、解决实际问题，进行总结论述，与已有技能建立联系，即清楚“怎么办”。</w:t>
      </w:r>
    </w:p>
    <w:p>
      <w:pPr>
        <w:autoSpaceDN w:val="0"/>
        <w:snapToGrid w:val="0"/>
        <w:spacing w:line="520" w:lineRule="exact"/>
        <w:ind w:firstLine="560" w:firstLineChars="200"/>
        <w:jc w:val="left"/>
        <w:rPr>
          <w:rFonts w:hint="eastAsia" w:asciiTheme="minorEastAsia" w:hAnsiTheme="minorEastAsia" w:eastAsiaTheme="minorEastAsia" w:cstheme="minorEastAsia"/>
          <w:color w:val="000000"/>
          <w:sz w:val="24"/>
          <w:szCs w:val="24"/>
        </w:rPr>
      </w:pPr>
    </w:p>
    <w:p>
      <w:pPr>
        <w:spacing w:line="520" w:lineRule="exact"/>
        <w:jc w:val="center"/>
        <w:rPr>
          <w:rFonts w:hint="eastAsia" w:asciiTheme="minorEastAsia" w:hAnsiTheme="minorEastAsia" w:eastAsiaTheme="minorEastAsia" w:cstheme="minorEastAsia"/>
          <w:b/>
          <w:color w:val="000000"/>
          <w:sz w:val="24"/>
          <w:szCs w:val="24"/>
        </w:rPr>
      </w:pPr>
      <w:r>
        <w:rPr>
          <w:rFonts w:hint="eastAsia" w:ascii="宋体" w:hAnsi="宋体" w:eastAsia="宋体" w:cs="宋体"/>
          <w:b/>
          <w:bCs/>
          <w:color w:val="auto"/>
          <w:sz w:val="24"/>
          <w:szCs w:val="24"/>
        </w:rPr>
        <w:t>Ⅱ.</w:t>
      </w:r>
      <w:r>
        <w:rPr>
          <w:rFonts w:hint="eastAsia" w:asciiTheme="minorEastAsia" w:hAnsiTheme="minorEastAsia" w:eastAsiaTheme="minorEastAsia" w:cstheme="minorEastAsia"/>
          <w:b/>
          <w:color w:val="000000"/>
          <w:sz w:val="24"/>
          <w:szCs w:val="24"/>
        </w:rPr>
        <w:t>考试范围与考核要求</w:t>
      </w:r>
    </w:p>
    <w:p>
      <w:pPr>
        <w:pStyle w:val="8"/>
        <w:spacing w:line="520" w:lineRule="exact"/>
        <w:ind w:firstLine="562"/>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一、市场营销概述</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1.了解生产观念、产品观念、推销观念、市场营销观念、社会营销观念产生的背景；</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2.掌握生产观念、产品观念、推销观念、市场营销观念、社会营销观念的内容；</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3.理解市场、市场营销和交换的概念；</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w:t>
      </w:r>
      <w:bookmarkStart w:id="0" w:name="_GoBack"/>
      <w:bookmarkEnd w:id="0"/>
      <w:r>
        <w:rPr>
          <w:rFonts w:hint="eastAsia" w:asciiTheme="minorEastAsia" w:hAnsiTheme="minorEastAsia" w:eastAsiaTheme="minorEastAsia" w:cstheme="minorEastAsia"/>
          <w:color w:val="000000"/>
          <w:sz w:val="24"/>
          <w:szCs w:val="24"/>
        </w:rPr>
        <w:t>掌握传统营销观念和现代营销观念的区别。</w:t>
      </w:r>
    </w:p>
    <w:p>
      <w:pPr>
        <w:pStyle w:val="8"/>
        <w:spacing w:line="520" w:lineRule="exact"/>
        <w:ind w:firstLine="562"/>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二、市场分析</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1.了解宏观环境和微观环境的构成；</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2.掌握市场营销环境SWOT分析法；</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3.理解消费品市场的概念；</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4.掌握影响消费者购买行为的主要因素；</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5.掌握消费者购买决策过程。</w:t>
      </w:r>
    </w:p>
    <w:p>
      <w:pPr>
        <w:pStyle w:val="8"/>
        <w:spacing w:line="520" w:lineRule="exact"/>
        <w:ind w:firstLine="562"/>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三、市场细分和目标市场</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1.了解市场细分的标准； </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2.理解市场细分、目标市场、市场定位的概念；</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3.掌握目标市场的营销策略；</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4.掌握市场定位的策略。</w:t>
      </w:r>
    </w:p>
    <w:p>
      <w:pPr>
        <w:pStyle w:val="8"/>
        <w:spacing w:line="520" w:lineRule="exact"/>
        <w:ind w:firstLine="562"/>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四、产品策略</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1.了解新产品开发程序、品牌种类； </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2.理解产品概念、产品整体概念、产品生命周期概念、新产品概念和品牌概念；</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3.掌握产品组合策略、产品生命周期各阶段（主要是成长期和成熟期）的特点及营销策略、品牌策略。</w:t>
      </w:r>
    </w:p>
    <w:p>
      <w:pPr>
        <w:pStyle w:val="8"/>
        <w:spacing w:line="520" w:lineRule="exact"/>
        <w:ind w:firstLine="562"/>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五、定价策略</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1.了解商品的价格构成、了解企业调价的两种情况；</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2.掌握影响企业产品定价的因素</w:t>
      </w:r>
      <w:r>
        <w:rPr>
          <w:rFonts w:hint="eastAsia" w:asciiTheme="minorEastAsia" w:hAnsiTheme="minorEastAsia" w:eastAsiaTheme="minorEastAsia" w:cstheme="minorEastAsia"/>
          <w:color w:val="000000"/>
          <w:sz w:val="24"/>
          <w:szCs w:val="24"/>
          <w:lang w:eastAsia="zh-CN"/>
        </w:rPr>
        <w:t>；</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3.掌握六种定价策略，重点掌握新产品定价策略和心理定价策略；</w:t>
      </w:r>
    </w:p>
    <w:p>
      <w:pPr>
        <w:pStyle w:val="8"/>
        <w:spacing w:line="520" w:lineRule="exact"/>
        <w:ind w:firstLineChars="15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4.掌握三种定价方法，重点掌握成本导向定价的三种方法。</w:t>
      </w:r>
    </w:p>
    <w:p>
      <w:pPr>
        <w:pStyle w:val="8"/>
        <w:spacing w:line="520" w:lineRule="exact"/>
        <w:ind w:firstLine="562"/>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六、分销渠道策略</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1.了解分销渠道基本类型、中间商的类型； </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2.理解分销渠道的概念；</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3.掌握影响分销渠道选择的因素并进行应用。</w:t>
      </w:r>
    </w:p>
    <w:p>
      <w:pPr>
        <w:pStyle w:val="8"/>
        <w:spacing w:line="520" w:lineRule="exact"/>
        <w:ind w:firstLine="562"/>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七、促销策略</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1.了解促销影响因素，理解促销组合含义，掌握促销组合策略；</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2.了解人员促销特点，掌握人员促销方法；</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3.了解广告媒体的种类，掌握广告的基本要求和选择的影响因素；</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4.了解适合消费者的营业推广方式；</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5.了解公共关系的特点和形式。</w:t>
      </w:r>
    </w:p>
    <w:p>
      <w:pPr>
        <w:pStyle w:val="8"/>
        <w:spacing w:line="520" w:lineRule="exact"/>
        <w:ind w:firstLine="562"/>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八、市场营销组合</w:t>
      </w:r>
    </w:p>
    <w:p>
      <w:pPr>
        <w:pStyle w:val="8"/>
        <w:spacing w:line="520" w:lineRule="exact"/>
        <w:ind w:firstLine="56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1.理解市场营销组合（4Ps）的含义。</w:t>
      </w:r>
    </w:p>
    <w:p>
      <w:pPr>
        <w:pStyle w:val="8"/>
        <w:spacing w:line="520" w:lineRule="exact"/>
        <w:ind w:firstLine="562"/>
        <w:rPr>
          <w:rFonts w:hint="eastAsia" w:asciiTheme="minorEastAsia" w:hAnsiTheme="minorEastAsia" w:eastAsiaTheme="minorEastAsia" w:cstheme="minorEastAsia"/>
          <w:b/>
          <w:color w:val="000000"/>
          <w:sz w:val="24"/>
          <w:szCs w:val="24"/>
        </w:rPr>
      </w:pPr>
    </w:p>
    <w:p>
      <w:pPr>
        <w:pStyle w:val="3"/>
        <w:snapToGrid w:val="0"/>
        <w:spacing w:line="520" w:lineRule="exact"/>
        <w:jc w:val="center"/>
        <w:rPr>
          <w:rFonts w:hint="eastAsia" w:asciiTheme="minorEastAsia" w:hAnsiTheme="minorEastAsia" w:eastAsiaTheme="minorEastAsia" w:cstheme="minorEastAsia"/>
          <w:b/>
          <w:color w:val="000000"/>
          <w:sz w:val="24"/>
          <w:szCs w:val="24"/>
        </w:rPr>
      </w:pPr>
      <w:r>
        <w:rPr>
          <w:rFonts w:hint="eastAsia" w:ascii="宋体" w:hAnsi="宋体" w:eastAsia="宋体" w:cs="宋体"/>
          <w:b/>
          <w:color w:val="auto"/>
          <w:sz w:val="24"/>
          <w:szCs w:val="24"/>
        </w:rPr>
        <w:t>Ⅲ.</w:t>
      </w:r>
      <w:r>
        <w:rPr>
          <w:rFonts w:hint="eastAsia" w:asciiTheme="minorEastAsia" w:hAnsiTheme="minorEastAsia" w:eastAsiaTheme="minorEastAsia" w:cstheme="minorEastAsia"/>
          <w:b/>
          <w:color w:val="000000"/>
          <w:sz w:val="24"/>
          <w:szCs w:val="24"/>
        </w:rPr>
        <w:t>考试形式及试卷结构</w:t>
      </w:r>
    </w:p>
    <w:p>
      <w:pPr>
        <w:spacing w:line="520" w:lineRule="exact"/>
        <w:ind w:firstLine="562" w:firstLineChars="200"/>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一、考试形式</w:t>
      </w:r>
    </w:p>
    <w:p>
      <w:pPr>
        <w:spacing w:line="520" w:lineRule="exact"/>
        <w:ind w:left="543"/>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1.</w:t>
      </w:r>
      <w:r>
        <w:rPr>
          <w:rFonts w:hint="eastAsia" w:asciiTheme="minorEastAsia" w:hAnsiTheme="minorEastAsia" w:eastAsiaTheme="minorEastAsia" w:cstheme="minorEastAsia"/>
          <w:color w:val="000000"/>
          <w:sz w:val="24"/>
          <w:szCs w:val="24"/>
        </w:rPr>
        <w:t>考试采用闭卷、笔试形式，考试不使用计算器</w:t>
      </w:r>
      <w:r>
        <w:rPr>
          <w:rFonts w:hint="eastAsia" w:asciiTheme="minorEastAsia" w:hAnsiTheme="minorEastAsia" w:eastAsiaTheme="minorEastAsia" w:cstheme="minorEastAsia"/>
          <w:color w:val="000000"/>
          <w:sz w:val="24"/>
          <w:szCs w:val="24"/>
          <w:lang w:eastAsia="zh-CN"/>
        </w:rPr>
        <w:t>；</w:t>
      </w:r>
    </w:p>
    <w:p>
      <w:pPr>
        <w:spacing w:line="520" w:lineRule="exact"/>
        <w:ind w:left="543"/>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2.</w:t>
      </w:r>
      <w:r>
        <w:rPr>
          <w:rFonts w:hint="eastAsia" w:asciiTheme="minorEastAsia" w:hAnsiTheme="minorEastAsia" w:eastAsiaTheme="minorEastAsia" w:cstheme="minorEastAsia"/>
          <w:color w:val="000000"/>
          <w:sz w:val="24"/>
          <w:szCs w:val="24"/>
        </w:rPr>
        <w:t>卷</w:t>
      </w:r>
      <w:r>
        <w:rPr>
          <w:rFonts w:hint="eastAsia" w:ascii="宋体" w:hAnsi="宋体" w:eastAsia="宋体" w:cs="宋体"/>
          <w:color w:val="auto"/>
          <w:sz w:val="24"/>
          <w:szCs w:val="24"/>
        </w:rPr>
        <w:t>Ⅰ</w:t>
      </w:r>
      <w:r>
        <w:rPr>
          <w:rFonts w:hint="eastAsia" w:asciiTheme="minorEastAsia" w:hAnsiTheme="minorEastAsia" w:eastAsiaTheme="minorEastAsia" w:cstheme="minorEastAsia"/>
          <w:color w:val="000000"/>
          <w:sz w:val="24"/>
          <w:szCs w:val="24"/>
        </w:rPr>
        <w:t>满分为150分，考试时间</w:t>
      </w:r>
      <w:r>
        <w:rPr>
          <w:rFonts w:hint="eastAsia" w:asciiTheme="minorEastAsia" w:hAnsiTheme="minorEastAsia" w:eastAsiaTheme="minorEastAsia" w:cstheme="minorEastAsia"/>
          <w:color w:val="000000"/>
          <w:sz w:val="24"/>
          <w:szCs w:val="24"/>
          <w:lang w:val="en-US" w:eastAsia="zh-CN"/>
        </w:rPr>
        <w:t>为</w:t>
      </w:r>
      <w:r>
        <w:rPr>
          <w:rFonts w:hint="eastAsia" w:asciiTheme="minorEastAsia" w:hAnsiTheme="minorEastAsia" w:eastAsiaTheme="minorEastAsia" w:cstheme="minorEastAsia"/>
          <w:color w:val="000000"/>
          <w:sz w:val="24"/>
          <w:szCs w:val="24"/>
        </w:rPr>
        <w:t>90分钟；</w:t>
      </w:r>
    </w:p>
    <w:p>
      <w:pPr>
        <w:spacing w:line="520" w:lineRule="exact"/>
        <w:ind w:left="543"/>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3.</w:t>
      </w:r>
      <w:r>
        <w:rPr>
          <w:rFonts w:hint="eastAsia" w:asciiTheme="minorEastAsia" w:hAnsiTheme="minorEastAsia" w:eastAsiaTheme="minorEastAsia" w:cstheme="minorEastAsia"/>
          <w:color w:val="000000"/>
          <w:sz w:val="24"/>
          <w:szCs w:val="24"/>
        </w:rPr>
        <w:t>卷</w:t>
      </w:r>
      <w:r>
        <w:rPr>
          <w:rFonts w:hint="eastAsia" w:ascii="宋体" w:hAnsi="宋体" w:eastAsia="宋体" w:cs="宋体"/>
          <w:b w:val="0"/>
          <w:bCs/>
          <w:color w:val="auto"/>
          <w:sz w:val="24"/>
          <w:szCs w:val="24"/>
        </w:rPr>
        <w:t>Ⅱ</w:t>
      </w:r>
      <w:r>
        <w:rPr>
          <w:rFonts w:hint="eastAsia" w:asciiTheme="minorEastAsia" w:hAnsiTheme="minorEastAsia" w:eastAsiaTheme="minorEastAsia" w:cstheme="minorEastAsia"/>
          <w:b w:val="0"/>
          <w:bCs/>
          <w:color w:val="000000"/>
          <w:sz w:val="24"/>
          <w:szCs w:val="24"/>
        </w:rPr>
        <w:t>满</w:t>
      </w:r>
      <w:r>
        <w:rPr>
          <w:rFonts w:hint="eastAsia" w:asciiTheme="minorEastAsia" w:hAnsiTheme="minorEastAsia" w:eastAsiaTheme="minorEastAsia" w:cstheme="minorEastAsia"/>
          <w:color w:val="000000"/>
          <w:sz w:val="24"/>
          <w:szCs w:val="24"/>
        </w:rPr>
        <w:t>分为100分，考试时间</w:t>
      </w:r>
      <w:r>
        <w:rPr>
          <w:rFonts w:hint="eastAsia" w:asciiTheme="minorEastAsia" w:hAnsiTheme="minorEastAsia" w:eastAsiaTheme="minorEastAsia" w:cstheme="minorEastAsia"/>
          <w:color w:val="000000"/>
          <w:sz w:val="24"/>
          <w:szCs w:val="24"/>
          <w:lang w:val="en-US" w:eastAsia="zh-CN"/>
        </w:rPr>
        <w:t>为</w:t>
      </w:r>
      <w:r>
        <w:rPr>
          <w:rFonts w:hint="eastAsia" w:asciiTheme="minorEastAsia" w:hAnsiTheme="minorEastAsia" w:eastAsiaTheme="minorEastAsia" w:cstheme="minorEastAsia"/>
          <w:color w:val="000000"/>
          <w:sz w:val="24"/>
          <w:szCs w:val="24"/>
        </w:rPr>
        <w:t>60分钟。</w:t>
      </w:r>
    </w:p>
    <w:p>
      <w:pPr>
        <w:spacing w:line="520" w:lineRule="exact"/>
        <w:ind w:left="543"/>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二、内容比例</w:t>
      </w:r>
    </w:p>
    <w:tbl>
      <w:tblPr>
        <w:tblStyle w:val="7"/>
        <w:tblW w:w="8895"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6"/>
        <w:gridCol w:w="3096"/>
        <w:gridCol w:w="2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trPr>
        <w:tc>
          <w:tcPr>
            <w:tcW w:w="2846"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序号</w:t>
            </w:r>
          </w:p>
        </w:tc>
        <w:tc>
          <w:tcPr>
            <w:tcW w:w="3096"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内容</w:t>
            </w:r>
          </w:p>
        </w:tc>
        <w:tc>
          <w:tcPr>
            <w:tcW w:w="2953"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分值比例（约占）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2846"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一</w:t>
            </w:r>
          </w:p>
        </w:tc>
        <w:tc>
          <w:tcPr>
            <w:tcW w:w="3096"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562"/>
              <w:jc w:val="left"/>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市场营销概述</w:t>
            </w:r>
          </w:p>
        </w:tc>
        <w:tc>
          <w:tcPr>
            <w:tcW w:w="2953"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2846"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二</w:t>
            </w:r>
          </w:p>
        </w:tc>
        <w:tc>
          <w:tcPr>
            <w:tcW w:w="3096"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562"/>
              <w:jc w:val="left"/>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市场分析</w:t>
            </w:r>
          </w:p>
        </w:tc>
        <w:tc>
          <w:tcPr>
            <w:tcW w:w="2953"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846"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三</w:t>
            </w:r>
          </w:p>
        </w:tc>
        <w:tc>
          <w:tcPr>
            <w:tcW w:w="3096"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left"/>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lang w:val="en-US" w:eastAsia="zh-CN"/>
              </w:rPr>
              <w:t xml:space="preserve">    </w:t>
            </w:r>
            <w:r>
              <w:rPr>
                <w:rFonts w:hint="eastAsia" w:asciiTheme="minorEastAsia" w:hAnsiTheme="minorEastAsia" w:eastAsiaTheme="minorEastAsia" w:cstheme="minorEastAsia"/>
                <w:b w:val="0"/>
                <w:bCs/>
                <w:color w:val="000000"/>
                <w:sz w:val="24"/>
                <w:szCs w:val="24"/>
              </w:rPr>
              <w:t>市场细分和目标市场</w:t>
            </w:r>
          </w:p>
        </w:tc>
        <w:tc>
          <w:tcPr>
            <w:tcW w:w="2953"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trPr>
        <w:tc>
          <w:tcPr>
            <w:tcW w:w="2846"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四</w:t>
            </w:r>
          </w:p>
        </w:tc>
        <w:tc>
          <w:tcPr>
            <w:tcW w:w="3096"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562"/>
              <w:jc w:val="left"/>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产品策略</w:t>
            </w:r>
          </w:p>
        </w:tc>
        <w:tc>
          <w:tcPr>
            <w:tcW w:w="2953"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trPr>
        <w:tc>
          <w:tcPr>
            <w:tcW w:w="2846"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五</w:t>
            </w:r>
          </w:p>
        </w:tc>
        <w:tc>
          <w:tcPr>
            <w:tcW w:w="3096"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562"/>
              <w:jc w:val="left"/>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定价策略</w:t>
            </w:r>
          </w:p>
        </w:tc>
        <w:tc>
          <w:tcPr>
            <w:tcW w:w="2953"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trPr>
        <w:tc>
          <w:tcPr>
            <w:tcW w:w="2846"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六</w:t>
            </w:r>
          </w:p>
        </w:tc>
        <w:tc>
          <w:tcPr>
            <w:tcW w:w="3096"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562"/>
              <w:jc w:val="left"/>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分销渠道策略</w:t>
            </w:r>
          </w:p>
        </w:tc>
        <w:tc>
          <w:tcPr>
            <w:tcW w:w="2953"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trPr>
        <w:tc>
          <w:tcPr>
            <w:tcW w:w="2846"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七</w:t>
            </w:r>
          </w:p>
        </w:tc>
        <w:tc>
          <w:tcPr>
            <w:tcW w:w="3096"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562"/>
              <w:jc w:val="left"/>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促销策略</w:t>
            </w:r>
          </w:p>
        </w:tc>
        <w:tc>
          <w:tcPr>
            <w:tcW w:w="2953"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trPr>
        <w:tc>
          <w:tcPr>
            <w:tcW w:w="2846"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八</w:t>
            </w:r>
          </w:p>
        </w:tc>
        <w:tc>
          <w:tcPr>
            <w:tcW w:w="3096" w:type="dxa"/>
            <w:tcBorders>
              <w:top w:val="single" w:color="auto" w:sz="4" w:space="0"/>
              <w:left w:val="single" w:color="auto" w:sz="4" w:space="0"/>
              <w:bottom w:val="single" w:color="auto" w:sz="4" w:space="0"/>
              <w:right w:val="single" w:color="auto" w:sz="4" w:space="0"/>
            </w:tcBorders>
            <w:vAlign w:val="center"/>
          </w:tcPr>
          <w:p>
            <w:pPr>
              <w:pStyle w:val="8"/>
              <w:spacing w:line="520" w:lineRule="exact"/>
              <w:ind w:firstLine="562"/>
              <w:jc w:val="left"/>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市场营销组合</w:t>
            </w:r>
          </w:p>
        </w:tc>
        <w:tc>
          <w:tcPr>
            <w:tcW w:w="2953"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2846"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p>
        </w:tc>
        <w:tc>
          <w:tcPr>
            <w:tcW w:w="3096"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合计</w:t>
            </w:r>
          </w:p>
        </w:tc>
        <w:tc>
          <w:tcPr>
            <w:tcW w:w="2953" w:type="dxa"/>
            <w:tcBorders>
              <w:top w:val="single" w:color="auto" w:sz="4" w:space="0"/>
              <w:left w:val="single" w:color="auto" w:sz="4" w:space="0"/>
              <w:bottom w:val="single" w:color="auto" w:sz="4" w:space="0"/>
              <w:right w:val="single" w:color="auto" w:sz="4" w:space="0"/>
            </w:tcBorders>
            <w:vAlign w:val="center"/>
          </w:tcPr>
          <w:p>
            <w:pPr>
              <w:tabs>
                <w:tab w:val="left" w:pos="381"/>
                <w:tab w:val="left" w:pos="2031"/>
              </w:tabs>
              <w:snapToGrid w:val="0"/>
              <w:spacing w:line="520" w:lineRule="exact"/>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sz w:val="24"/>
                <w:szCs w:val="24"/>
              </w:rPr>
              <w:t>100%</w:t>
            </w:r>
          </w:p>
        </w:tc>
      </w:tr>
    </w:tbl>
    <w:p>
      <w:pPr>
        <w:pStyle w:val="3"/>
        <w:snapToGrid w:val="0"/>
        <w:spacing w:line="520" w:lineRule="exact"/>
        <w:ind w:firstLine="551" w:firstLineChars="196"/>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三、考试题型</w:t>
      </w:r>
    </w:p>
    <w:p>
      <w:pPr>
        <w:pStyle w:val="3"/>
        <w:snapToGrid w:val="0"/>
        <w:spacing w:line="520" w:lineRule="exact"/>
        <w:ind w:firstLine="549" w:firstLineChars="196"/>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1.</w:t>
      </w:r>
      <w:r>
        <w:rPr>
          <w:rFonts w:hint="eastAsia" w:asciiTheme="minorEastAsia" w:hAnsiTheme="minorEastAsia" w:eastAsiaTheme="minorEastAsia" w:cstheme="minorEastAsia"/>
          <w:color w:val="000000"/>
          <w:sz w:val="24"/>
          <w:szCs w:val="24"/>
        </w:rPr>
        <w:t>卷</w:t>
      </w:r>
      <w:r>
        <w:rPr>
          <w:rFonts w:hint="eastAsia" w:ascii="宋体" w:hAnsi="宋体" w:eastAsia="宋体" w:cs="宋体"/>
          <w:color w:val="auto"/>
          <w:sz w:val="24"/>
          <w:szCs w:val="24"/>
        </w:rPr>
        <w:t>Ⅰ</w:t>
      </w:r>
      <w:r>
        <w:rPr>
          <w:rFonts w:hint="eastAsia" w:asciiTheme="minorEastAsia" w:hAnsiTheme="minorEastAsia" w:eastAsiaTheme="minorEastAsia" w:cstheme="minorEastAsia"/>
          <w:color w:val="000000"/>
          <w:sz w:val="24"/>
          <w:szCs w:val="24"/>
        </w:rPr>
        <w:t>考试题型包括单项选择题、判断题等题型</w:t>
      </w:r>
      <w:r>
        <w:rPr>
          <w:rFonts w:hint="eastAsia" w:asciiTheme="minorEastAsia" w:hAnsiTheme="minorEastAsia" w:eastAsiaTheme="minorEastAsia" w:cstheme="minorEastAsia"/>
          <w:color w:val="000000"/>
          <w:sz w:val="24"/>
          <w:szCs w:val="24"/>
          <w:lang w:eastAsia="zh-CN"/>
        </w:rPr>
        <w:t>；</w:t>
      </w:r>
    </w:p>
    <w:p>
      <w:pPr>
        <w:pStyle w:val="3"/>
        <w:snapToGrid w:val="0"/>
        <w:spacing w:line="520" w:lineRule="exact"/>
        <w:ind w:firstLine="549" w:firstLineChars="196"/>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lang w:val="en-US" w:eastAsia="zh-CN"/>
        </w:rPr>
        <w:t>2.</w:t>
      </w:r>
      <w:r>
        <w:rPr>
          <w:rFonts w:hint="eastAsia" w:asciiTheme="minorEastAsia" w:hAnsiTheme="minorEastAsia" w:eastAsiaTheme="minorEastAsia" w:cstheme="minorEastAsia"/>
          <w:color w:val="000000"/>
          <w:sz w:val="24"/>
          <w:szCs w:val="24"/>
        </w:rPr>
        <w:t>卷</w:t>
      </w:r>
      <w:r>
        <w:rPr>
          <w:rFonts w:hint="eastAsia" w:ascii="宋体" w:hAnsi="宋体" w:eastAsia="宋体" w:cs="宋体"/>
          <w:b w:val="0"/>
          <w:bCs/>
          <w:color w:val="auto"/>
          <w:sz w:val="24"/>
          <w:szCs w:val="24"/>
        </w:rPr>
        <w:t>Ⅱ</w:t>
      </w:r>
      <w:r>
        <w:rPr>
          <w:rFonts w:hint="eastAsia" w:asciiTheme="minorEastAsia" w:hAnsiTheme="minorEastAsia" w:eastAsiaTheme="minorEastAsia" w:cstheme="minorEastAsia"/>
          <w:color w:val="000000"/>
          <w:sz w:val="24"/>
          <w:szCs w:val="24"/>
        </w:rPr>
        <w:t>考试题型包括单项选择题、多项选择题、案例选择题、案例分析题等题型。</w:t>
      </w:r>
    </w:p>
    <w:p>
      <w:pPr>
        <w:pStyle w:val="3"/>
        <w:snapToGrid w:val="0"/>
        <w:spacing w:line="520" w:lineRule="exact"/>
        <w:ind w:firstLine="549" w:firstLineChars="196"/>
        <w:rPr>
          <w:rFonts w:ascii="仿宋_GB2312" w:hAnsi="仿宋" w:eastAsia="仿宋_GB2312"/>
          <w:color w:val="000000"/>
          <w:sz w:val="28"/>
          <w:szCs w:val="28"/>
        </w:rPr>
      </w:pPr>
    </w:p>
    <w:p/>
    <w:sectPr>
      <w:headerReference r:id="rId3" w:type="default"/>
      <w:footerReference r:id="rId4" w:type="default"/>
      <w:pgSz w:w="11907" w:h="16839"/>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3000509000000000000"/>
    <w:charset w:val="86"/>
    <w:family w:val="script"/>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24pt;width:49.35pt;mso-position-horizontal:center;mso-position-horizontal-relative:margin;z-index:251658240;mso-width-relative:page;mso-height-relative:page;" filled="f" stroked="f" coordsize="21600,21600" o:gfxdata="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uDTp/TAAAAAwEAAA8AAAAAAAAAAQAgAAAAIgAAAGRycy9k&#10;b3ducmV2LnhtbFBLAQIUABQAAAAIAIdO4kDU+jHmzgEAAJQDAAAOAAAAAAAAAAEAIAAAACIBAABk&#10;cnMvZTJvRG9jLnhtbFBLBQYAAAAABgAGAFkBAABiBQAAAAA=&#10;">
          <v:path/>
          <v:fill on="f" focussize="0,0"/>
          <v:stroke on="f" weight="0.5pt" joinstyle="miter"/>
          <v:imagedata o:title=""/>
          <o:lock v:ext="edit"/>
          <v:textbox inset="0mm,0mm,0mm,0mm" style="mso-fit-shape-to-text:t;">
            <w:txbxContent>
              <w:p>
                <w:pPr>
                  <w:snapToGrid w:val="0"/>
                  <w:rPr>
                    <w:rFonts w:ascii="仿宋_GB2312" w:eastAsia="仿宋_GB2312"/>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PAGE  \* MERGEFORMAT </w:instrText>
                </w:r>
                <w:r>
                  <w:rPr>
                    <w:rFonts w:hint="eastAsia" w:ascii="仿宋_GB2312" w:eastAsia="仿宋_GB2312"/>
                    <w:sz w:val="28"/>
                    <w:szCs w:val="28"/>
                  </w:rPr>
                  <w:fldChar w:fldCharType="separate"/>
                </w:r>
                <w:r>
                  <w:rPr>
                    <w:rFonts w:ascii="仿宋_GB2312" w:eastAsia="仿宋_GB2312"/>
                    <w:sz w:val="28"/>
                    <w:szCs w:val="28"/>
                  </w:rPr>
                  <w:t>4</w:t>
                </w:r>
                <w:r>
                  <w:rPr>
                    <w:rFonts w:hint="eastAsia" w:ascii="仿宋_GB2312" w:eastAsia="仿宋_GB2312"/>
                    <w:sz w:val="28"/>
                    <w:szCs w:val="2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FB61A30"/>
    <w:rsid w:val="004662DA"/>
    <w:rsid w:val="004F67C5"/>
    <w:rsid w:val="006F37B2"/>
    <w:rsid w:val="0251093F"/>
    <w:rsid w:val="04F119C1"/>
    <w:rsid w:val="099D1E06"/>
    <w:rsid w:val="18BD0A2D"/>
    <w:rsid w:val="1BAA1E02"/>
    <w:rsid w:val="22404628"/>
    <w:rsid w:val="46DE40D0"/>
    <w:rsid w:val="713033A7"/>
    <w:rsid w:val="773443A2"/>
    <w:rsid w:val="7FB61A3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b/>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rPr>
      <w:rFonts w:ascii="宋体" w:hAnsi="宋体"/>
      <w:kern w:val="0"/>
      <w:sz w:val="20"/>
      <w:szCs w:val="24"/>
    </w:rPr>
  </w:style>
  <w:style w:type="paragraph" w:styleId="4">
    <w:name w:val="footer"/>
    <w:basedOn w:val="1"/>
    <w:qFormat/>
    <w:uiPriority w:val="0"/>
    <w:pPr>
      <w:tabs>
        <w:tab w:val="center" w:pos="4153"/>
        <w:tab w:val="right" w:pos="8306"/>
      </w:tabs>
      <w:snapToGrid w:val="0"/>
      <w:jc w:val="left"/>
    </w:pPr>
    <w:rPr>
      <w:sz w:val="18"/>
      <w:szCs w:val="24"/>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4</Pages>
  <Words>225</Words>
  <Characters>1286</Characters>
  <Lines>10</Lines>
  <Paragraphs>3</Paragraphs>
  <ScaleCrop>false</ScaleCrop>
  <LinksUpToDate>false</LinksUpToDate>
  <CharactersWithSpaces>1508</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2021-01-13T07:20:00Z</dcterms:created>
  <dc:creator>thtf</dc:creator>
  <cp:lastModifiedBy>7】；‘</cp:lastModifiedBy>
  <dcterms:modified xsi:type="dcterms:W3CDTF">2021-02-04T10:43:56Z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