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exact"/>
        <w:jc w:val="center"/>
        <w:rPr>
          <w:rFonts w:hint="eastAsia" w:ascii="黑体" w:hAnsi="黑体" w:eastAsia="黑体" w:cs="黑体"/>
          <w:b w:val="0"/>
          <w:color w:val="000000" w:themeColor="text1"/>
          <w:spacing w:val="20"/>
          <w:sz w:val="32"/>
          <w:szCs w:val="32"/>
        </w:rPr>
      </w:pPr>
      <w:r>
        <w:rPr>
          <w:rFonts w:hint="eastAsia" w:ascii="黑体" w:hAnsi="黑体" w:eastAsia="黑体" w:cs="黑体"/>
          <w:b w:val="0"/>
          <w:color w:val="000000" w:themeColor="text1"/>
          <w:spacing w:val="20"/>
          <w:sz w:val="32"/>
          <w:szCs w:val="32"/>
        </w:rPr>
        <w:t>福建省中等职业学校学业水平考试</w:t>
      </w:r>
    </w:p>
    <w:p>
      <w:pPr>
        <w:pStyle w:val="3"/>
        <w:spacing w:line="360" w:lineRule="exact"/>
        <w:jc w:val="center"/>
        <w:rPr>
          <w:rFonts w:hint="eastAsia" w:ascii="黑体" w:hAnsi="黑体" w:eastAsia="黑体" w:cs="黑体"/>
          <w:b w:val="0"/>
          <w:color w:val="000000" w:themeColor="text1"/>
          <w:spacing w:val="20"/>
          <w:sz w:val="32"/>
          <w:szCs w:val="32"/>
        </w:rPr>
      </w:pPr>
      <w:r>
        <w:rPr>
          <w:rFonts w:hint="eastAsia" w:ascii="黑体" w:hAnsi="黑体" w:eastAsia="黑体" w:cs="黑体"/>
          <w:b w:val="0"/>
          <w:color w:val="000000" w:themeColor="text1"/>
          <w:spacing w:val="20"/>
          <w:sz w:val="32"/>
          <w:szCs w:val="32"/>
        </w:rPr>
        <w:t>《城市轨道交通运营安全》课程考试大纲</w:t>
      </w:r>
    </w:p>
    <w:p>
      <w:pPr>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sz w:val="24"/>
          <w:szCs w:val="24"/>
        </w:rPr>
        <w:t>本考试大纲以教育部《中等职业学校专业教学标准》为指导，</w:t>
      </w:r>
      <w:bookmarkStart w:id="0" w:name="_GoBack"/>
      <w:bookmarkEnd w:id="0"/>
      <w:r>
        <w:rPr>
          <w:rFonts w:hint="eastAsia" w:ascii="宋体" w:hAnsi="宋体" w:eastAsia="宋体" w:cs="宋体"/>
          <w:color w:val="000000" w:themeColor="text1"/>
          <w:sz w:val="24"/>
          <w:szCs w:val="24"/>
        </w:rPr>
        <w:t>结合我省中职学校《城市轨道交通运营安全》课程教学的实际情况而制定。</w:t>
      </w:r>
    </w:p>
    <w:p>
      <w:pPr>
        <w:pStyle w:val="8"/>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b/>
          <w:bCs/>
          <w:color w:val="auto"/>
          <w:sz w:val="24"/>
          <w:szCs w:val="24"/>
        </w:rPr>
        <w:t>Ⅰ</w:t>
      </w:r>
      <w:r>
        <w:rPr>
          <w:rFonts w:hint="eastAsia" w:ascii="宋体" w:hAnsi="宋体" w:eastAsia="宋体" w:cs="宋体"/>
          <w:color w:val="000000" w:themeColor="text1"/>
          <w:sz w:val="24"/>
          <w:szCs w:val="24"/>
        </w:rPr>
        <w:t>.考试目标与要求</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《城市轨道交通运营安全</w:t>
      </w:r>
      <w:r>
        <w:rPr>
          <w:rFonts w:hint="eastAsia" w:ascii="宋体" w:hAnsi="宋体" w:cs="宋体"/>
          <w:color w:val="000000" w:themeColor="text1"/>
          <w:sz w:val="24"/>
          <w:szCs w:val="24"/>
          <w:lang w:eastAsia="zh-CN"/>
        </w:rPr>
        <w:t>》</w:t>
      </w:r>
      <w:r>
        <w:rPr>
          <w:rFonts w:hint="eastAsia" w:ascii="宋体" w:hAnsi="宋体" w:eastAsia="宋体" w:cs="宋体"/>
          <w:color w:val="000000" w:themeColor="text1"/>
          <w:sz w:val="24"/>
          <w:szCs w:val="24"/>
        </w:rPr>
        <w:t>课程主要考查学生对城市轨道交通运营安全知识的认知程度和运用知识分析问题、解决问题的能力，能达到职业岗位能力的基本要求</w:t>
      </w:r>
      <w:r>
        <w:rPr>
          <w:rFonts w:hint="eastAsia" w:ascii="宋体" w:hAnsi="宋体" w:eastAsia="宋体" w:cs="宋体"/>
          <w:color w:val="000000" w:themeColor="text1"/>
          <w:kern w:val="18"/>
          <w:sz w:val="24"/>
          <w:szCs w:val="24"/>
        </w:rPr>
        <w:t>。</w:t>
      </w:r>
      <w:r>
        <w:rPr>
          <w:rFonts w:hint="eastAsia" w:ascii="宋体" w:hAnsi="宋体" w:eastAsia="宋体" w:cs="宋体"/>
          <w:color w:val="000000" w:themeColor="text1"/>
          <w:sz w:val="24"/>
          <w:szCs w:val="24"/>
        </w:rPr>
        <w:t>具体要求如下</w:t>
      </w:r>
      <w:r>
        <w:rPr>
          <w:rFonts w:hint="eastAsia" w:ascii="宋体" w:hAnsi="宋体" w:cs="宋体"/>
          <w:color w:val="000000" w:themeColor="text1"/>
          <w:sz w:val="24"/>
          <w:szCs w:val="24"/>
          <w:lang w:eastAsia="zh-CN"/>
        </w:rPr>
        <w:t>：</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1.了解层次：要求对某一概念、知识内容，能够准确再认、再现，具有初步识别、辨认事实或正确描述对象的基本特征的能力，即知道“是什么”。</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2.理解层次：要求对某一概念、知识内容，在了解基础上，能够深刻领会相关知识、原理、方法，并借此解释、推断、分析现象，辨明正误，即明白“为什么”。</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3.掌握层次：要求能够灵活运用相关原理、法则和方法，综合分析、解决实际问题，进行总结论述，与已有技能建立联系，即清楚“怎么办”。</w:t>
      </w:r>
    </w:p>
    <w:p>
      <w:pPr>
        <w:pStyle w:val="8"/>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Ⅱ.考试范围与考核要求</w:t>
      </w:r>
    </w:p>
    <w:p>
      <w:pPr>
        <w:pStyle w:val="2"/>
        <w:keepNext w:val="0"/>
        <w:keepLines w:val="0"/>
        <w:pageBreakBefore w:val="0"/>
        <w:widowControl w:val="0"/>
        <w:numPr>
          <w:ilvl w:val="0"/>
          <w:numId w:val="0"/>
        </w:numPr>
        <w:kinsoku/>
        <w:wordWrap/>
        <w:overflowPunct/>
        <w:topLinePunct w:val="0"/>
        <w:autoSpaceDE/>
        <w:bidi w:val="0"/>
        <w:adjustRightInd/>
        <w:ind w:leftChars="200" w:right="0" w:rightChars="0"/>
        <w:rPr>
          <w:rFonts w:hint="eastAsia" w:ascii="宋体" w:hAnsi="宋体" w:eastAsia="宋体" w:cs="宋体"/>
          <w:color w:val="000000" w:themeColor="text1"/>
          <w:sz w:val="24"/>
          <w:szCs w:val="24"/>
        </w:rPr>
      </w:pPr>
      <w:r>
        <w:rPr>
          <w:rFonts w:hint="eastAsia" w:cs="宋体"/>
          <w:color w:val="000000" w:themeColor="text1"/>
          <w:sz w:val="24"/>
          <w:szCs w:val="24"/>
          <w:lang w:val="en-US" w:eastAsia="zh-CN"/>
        </w:rPr>
        <w:t>一、</w:t>
      </w:r>
      <w:r>
        <w:rPr>
          <w:rFonts w:hint="eastAsia" w:ascii="宋体" w:hAnsi="宋体" w:eastAsia="宋体" w:cs="宋体"/>
          <w:color w:val="000000" w:themeColor="text1"/>
          <w:sz w:val="24"/>
          <w:szCs w:val="24"/>
        </w:rPr>
        <w:t>城市轨道交通运营安全管理的主要内容</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1.了解城市轨道交通运营安全的概念；了解人身安全、设备安全的含义；了解城市轨道交通运营安全的特殊性；</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2.掌握城市轨道交通运营安全管理的基本方针及含义；</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3.了解与轨道交通运营安全相关的安全法规有哪些；</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4.了解城市轨道交通运营通用安全守则；</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5.理解与城市轨道交通运营安全相关的因素；</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6.理解人对运营安全的关键性及特殊作用；掌握运营安全对人员的素质要求；</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7.了解与轨道交通运营安全相关的设备种类；</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8.理解影响轨道交通运营安全的环境因素的构成；</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9.理解管理对运营安全的重要性；理解轨道交通运营安全管理的概念及其含义（目的、主体、对象、方法和本质）；了解影响运营安全管理的因素；</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10.了解城市轨道交通安全管理的对策；</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11.掌握建立城市轨道交通企业运营安全控制体系的目的、原则、质量管理理念及具体目标；</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12.掌握城市轨道交通运营管理在安全工作上具有的特点；</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13.掌握职业道德的概念；了解职业道德在内容、表现形式、调节的范围、产生的效果几方面的具体表现；掌握加强城市轨道交通客运职工职业道德的作用。</w:t>
      </w:r>
    </w:p>
    <w:p>
      <w:pPr>
        <w:pStyle w:val="2"/>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二、运营企业生产部门安全管理规定</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b/>
          <w:bCs/>
          <w:color w:val="000000" w:themeColor="text1"/>
          <w:sz w:val="24"/>
          <w:szCs w:val="24"/>
        </w:rPr>
      </w:pPr>
      <w:r>
        <w:rPr>
          <w:rFonts w:hint="eastAsia" w:ascii="宋体" w:hAnsi="宋体" w:eastAsia="宋体" w:cs="宋体"/>
          <w:color w:val="000000" w:themeColor="text1"/>
          <w:sz w:val="24"/>
          <w:szCs w:val="24"/>
        </w:rPr>
        <w:t>1.了解行车安全的概念及工作内容；了解城市轨道交通行车组织的管理模式；了解保证行车安全所需的安全规章制度体系；</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highlight w:val="yellow"/>
        </w:rPr>
      </w:pPr>
      <w:r>
        <w:rPr>
          <w:rFonts w:hint="eastAsia" w:ascii="宋体" w:hAnsi="宋体" w:eastAsia="宋体" w:cs="宋体"/>
          <w:color w:val="000000" w:themeColor="text1"/>
          <w:sz w:val="24"/>
          <w:szCs w:val="24"/>
        </w:rPr>
        <w:t>2.理解车站安全工作的职责内容；了解车站工作中可能存在的安全隐患以及预防措施；</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3.了解影响列车运行安全的因素；了解列车正线运营安全规章内容；了解办理电话闭塞法的基本程序；</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4.了解城市轨道交通运营突发事件的定义；理解城市轨道交通突发事件范围；了解城市轨道车站突发事件处理的原则；</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5.了解突发事件应急救援的基本任务；了解突发事件信息通报具体事项；</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6.理解事故发生前的预防措施；</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7.理解事故发生后快速处理的要素保障；</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8.了解恶劣天气</w:t>
      </w:r>
      <w:r>
        <w:rPr>
          <w:rFonts w:hint="eastAsia" w:ascii="宋体" w:hAnsi="宋体" w:eastAsia="宋体" w:cs="宋体"/>
          <w:color w:val="000000" w:themeColor="text1"/>
          <w:sz w:val="24"/>
          <w:szCs w:val="24"/>
          <w:lang w:eastAsia="zh-CN"/>
        </w:rPr>
        <w:t>（</w:t>
      </w:r>
      <w:r>
        <w:rPr>
          <w:rFonts w:hint="eastAsia" w:ascii="宋体" w:hAnsi="宋体" w:eastAsia="宋体" w:cs="宋体"/>
          <w:color w:val="000000" w:themeColor="text1"/>
          <w:sz w:val="24"/>
          <w:szCs w:val="24"/>
        </w:rPr>
        <w:t>暴雨、大风、暴雪</w:t>
      </w:r>
      <w:r>
        <w:rPr>
          <w:rFonts w:hint="eastAsia" w:ascii="宋体" w:hAnsi="宋体" w:eastAsia="宋体" w:cs="宋体"/>
          <w:color w:val="000000" w:themeColor="text1"/>
          <w:sz w:val="24"/>
          <w:szCs w:val="24"/>
          <w:lang w:eastAsia="zh-CN"/>
        </w:rPr>
        <w:t>）</w:t>
      </w:r>
      <w:r>
        <w:rPr>
          <w:rFonts w:hint="eastAsia" w:ascii="宋体" w:hAnsi="宋体" w:eastAsia="宋体" w:cs="宋体"/>
          <w:color w:val="000000" w:themeColor="text1"/>
          <w:sz w:val="24"/>
          <w:szCs w:val="24"/>
        </w:rPr>
        <w:t>车站应急处理时的关键指引、处理流程及站务员的岗位行动；</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9.了解车站全站停电应急处理的原则和处理流程，以及站务员和售票员的岗位作业；</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10.了解车站发生火灾应急处理的分类、关键指引和处理流程，以及站务员和售票员的岗位行动；</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11.屏蔽门安全操作</w:t>
      </w:r>
      <w:r>
        <w:rPr>
          <w:rFonts w:hint="eastAsia" w:ascii="宋体" w:hAnsi="宋体" w:eastAsia="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（1）了解个别屏蔽门不能打开，车站工作人员处理方法；</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（2）了解整侧屏蔽门不能打开，车站工作人员处理方法；</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（3）了解个别屏蔽门不能关闭，车站工作人员处理方法；</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（4）了解整侧屏蔽门不能关闭，车站工作人员处理方法；</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（5）了解屏蔽门玻璃破碎时，车站工作人员处理方法；</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（6）了解屏蔽门或列车车门夹人夹物，车站工作人员的应急处理</w:t>
      </w:r>
      <w:r>
        <w:rPr>
          <w:rFonts w:hint="eastAsia" w:ascii="宋体" w:hAnsi="宋体" w:eastAsia="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12.客流组织安全</w:t>
      </w:r>
      <w:r>
        <w:rPr>
          <w:rFonts w:hint="eastAsia" w:ascii="宋体" w:hAnsi="宋体" w:eastAsia="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（1）理解日常客流组织的概念及分类；</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（2）掌握大客流的定义；</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（3）掌握大客流的分类（依据客流产生的影响、客流的时效性和客流产生的原因）；理解各类大客流的特点；</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（4）理解大客流的组织措施；</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（5）理解大客流控制原则、具体措施（三级客流控制）；</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（6）了解突发事件时，疏散、清客和隔离三种客流组织的定义以及各类情况的组织办法</w:t>
      </w:r>
      <w:r>
        <w:rPr>
          <w:rFonts w:hint="eastAsia" w:ascii="宋体" w:hAnsi="宋体" w:eastAsia="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13.了解客运值班员的岗位职责和主要作业内容；</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14.了解客服中心岗的岗位职责和主要作业内容；</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15.了解站厅站务员的岗位职责和主要作业内容；</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16.了解站台站务员的岗位职责和主要作业内容；</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17.列车运行突发事件应急处理</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（1）了解列车撞人应急处理原则，以及车站工作人员在事件处理前的准备、事件处理过程及恢复运营中的工作；</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（2）掌握列车区间疏散乘客应急处理原则，以及车站工作人员在事件处理前的准备、区间疏散时车站人员协助疏散人员的工作及区间疏散完毕后车站人员的善后工作；</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（3）掌握列车发生火灾应急处理原则，以及车站工作人员协助疏散的工作</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18.车票安全管理</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（1）掌握常见票务类设备的英文简称：自动售检票系统、自动售票机、半自动售票机、自动检票机；</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（2）了解车票安全管理规定；</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（3）了解车站现金的组成；了解车站现金安全区域；了解车站现金交接规定；了解钱箱清点规定；了解车站票款收入主要组成以及票款解行操作程序</w:t>
      </w:r>
      <w:r>
        <w:rPr>
          <w:rFonts w:hint="eastAsia" w:ascii="宋体" w:hAnsi="宋体" w:cs="宋体"/>
          <w:color w:val="000000" w:themeColor="text1"/>
          <w:sz w:val="24"/>
          <w:szCs w:val="24"/>
          <w:lang w:eastAsia="zh-CN"/>
        </w:rPr>
        <w:t>。</w:t>
      </w:r>
    </w:p>
    <w:p>
      <w:pPr>
        <w:pStyle w:val="2"/>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三、危险源识别与控制</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1.掌握危险源的概念；</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2.城市轨道交通的危险源的风险以及控制措施</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（1）了解乘客的不安全行为；</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（2）了解车站突发事件及违章作业；</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（3）了解设备故障可能</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3.掌握通用危险源的主要类别；理解各类别主要内容；</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4.理解危险源识别的概念；掌握危险源存在的三种状态；理解识别危险源的步骤；</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5.了解轨道交通按活动划分危险源识别范围；</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6.了解通用危险源事故类别名称及相对应的类别编号；</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7.理解对已识别的危险源进行风险评价的方法；理解划分风险等级；理解风险控制措施；</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8.通用安全标志的概念及类型</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（1）掌握安全标志及相关标志（组合标志、多重标志）的概念；</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（2）掌握安全标志的类型，以及各类型的图形组成和主要色标；理解对各类安全标志图形及含义正确识别；</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（3）了解其他安全色标志的色标颜色</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9.安全色与对比色的含义及用途</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（1）掌握安全色与对比色的定义；</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（2）掌握安全色的主要色标及含义；</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（3）掌握对比色的主要色标及主要用途；掌握相间条纹色的含义；掌握安全色与对比色的正确搭配</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10.了解城市轨道交通常用安全标识；了解轨道线路上隧道内百米标、警冲标的设置位置。</w:t>
      </w:r>
    </w:p>
    <w:p>
      <w:pPr>
        <w:pStyle w:val="2"/>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四、通用安全知识</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1.电气安全基本知识</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（1）理解电气事故按照电能的不同形式的分类；</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（2）理解保障用电安全的基础要素；</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（3）了解在安全技术方面对电气设备的基本要求</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2.电气事故的类型、危害与防护</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（1）掌握触电事故的分类、危害及防护措施；</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（2）了解触电事故的分布规律；</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（3）了解各类静电事故的危害；了解静电引起火灾和爆炸的条件；理解消除静电危害的基本对策；掌握静电消除的方法；</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（4）了解雷电灾害的破坏作用、雷电危害的分类、雷电的破坏突击途径；了解避雷装置；</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（5）了解射频的含义；了解射频磁场的危害；</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（6）了解电气系统故障危害产生的原因；了解电路故障；了解电气系统故障的危害</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3.机械安全措施</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（1）了解机械的安全性的含义；</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（2）了解在设计阶段消除机械通用危害的措施；</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（3）了解加装安全防护装置需考虑的因素及防护装置的一般要求</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4.城市轨道交通系统机械安全</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（1）了解车辆在运营线路上发生故障可能造成的影响；了解常用的改进措施；</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（2）了解线路的组成部分及要求；了解保障线路安全技术的措施；</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（3）了解信号系统的组成；了解通信系统的组成；</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（4）了解架车机的作用</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5.城市轨道交通站台屏蔽门（安全门）安全</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（1）了解站台屏蔽门（安全门）的分类及其优缺点；</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 xml:space="preserve">（2）理解站台屏蔽门（安全门）门体结构的组成及其各自的作用； </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（3）掌握站台屏蔽门（安全门）五种控制方式及其选择的优先权</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6.防火灭火基本知识</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（1）掌握火灾的定义、火灾发生的必要条件；</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（2）了解火灾按照着火可燃物不同分类；</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（3）掌握防火的基本方法及可采取的措施</w:t>
      </w:r>
      <w:r>
        <w:rPr>
          <w:rFonts w:hint="eastAsia" w:ascii="宋体" w:hAnsi="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7.消防设备设施的使用方法</w:t>
      </w:r>
      <w:r>
        <w:rPr>
          <w:rFonts w:hint="eastAsia" w:ascii="宋体" w:hAnsi="宋体" w:cs="宋体"/>
          <w:color w:val="000000" w:themeColor="text1"/>
          <w:sz w:val="24"/>
          <w:szCs w:val="24"/>
          <w:lang w:eastAsia="zh-CN"/>
        </w:rPr>
        <w:t>：</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（1）理解灭火器分类（充装灭火剂）；</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（2）理解干粉灭火器的使用方法；</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（3）了解消火栓的组成及其使用方法；</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（4）了解火灾自动报警设备的组成、工作原理；了解火灾探测器的主要类型</w:t>
      </w:r>
      <w:r>
        <w:rPr>
          <w:rFonts w:hint="eastAsia" w:ascii="宋体" w:hAnsi="宋体" w:eastAsia="宋体" w:cs="宋体"/>
          <w:color w:val="000000" w:themeColor="text1"/>
          <w:sz w:val="24"/>
          <w:szCs w:val="24"/>
          <w:lang w:eastAsia="zh-CN"/>
        </w:rPr>
        <w:t>；</w:t>
      </w:r>
    </w:p>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8.城市轨道交通消防安全</w:t>
      </w:r>
      <w:r>
        <w:rPr>
          <w:rFonts w:hint="eastAsia" w:ascii="宋体" w:hAnsi="宋体" w:cs="宋体"/>
          <w:color w:val="000000" w:themeColor="text1"/>
          <w:sz w:val="24"/>
          <w:szCs w:val="24"/>
          <w:lang w:eastAsia="zh-CN"/>
        </w:rPr>
        <w:t>：</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（1）掌握城市轨道交通火灾的特点；</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（2）理解城市轨道交通运营中引发火灾的原因</w:t>
      </w:r>
      <w:r>
        <w:rPr>
          <w:rFonts w:hint="eastAsia" w:ascii="宋体" w:hAnsi="宋体" w:cs="宋体"/>
          <w:color w:val="000000" w:themeColor="text1"/>
          <w:sz w:val="24"/>
          <w:szCs w:val="24"/>
          <w:lang w:eastAsia="zh-CN"/>
        </w:rPr>
        <w:t>；</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9.城市轨道交通车站电梯安全</w:t>
      </w:r>
      <w:r>
        <w:rPr>
          <w:rFonts w:hint="eastAsia" w:ascii="宋体" w:hAnsi="宋体" w:cs="宋体"/>
          <w:color w:val="000000" w:themeColor="text1"/>
          <w:sz w:val="24"/>
          <w:szCs w:val="24"/>
          <w:lang w:eastAsia="zh-CN"/>
        </w:rPr>
        <w:t>：</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（1）了解电梯的分类及作用；</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（2）了解自动扶梯启动、运行、停运、转换运行方向、紧急停止的安全要求；</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（3）了解垂直电梯困人的处理流程</w:t>
      </w:r>
      <w:r>
        <w:rPr>
          <w:rFonts w:hint="eastAsia" w:ascii="宋体" w:hAnsi="宋体" w:cs="宋体"/>
          <w:color w:val="000000" w:themeColor="text1"/>
          <w:sz w:val="24"/>
          <w:szCs w:val="24"/>
          <w:lang w:eastAsia="zh-CN"/>
        </w:rPr>
        <w:t>；</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10.手摇道岔作业安全</w:t>
      </w:r>
      <w:r>
        <w:rPr>
          <w:rFonts w:hint="eastAsia" w:ascii="宋体" w:hAnsi="宋体" w:cs="宋体"/>
          <w:color w:val="000000" w:themeColor="text1"/>
          <w:sz w:val="24"/>
          <w:szCs w:val="24"/>
          <w:lang w:eastAsia="zh-CN"/>
        </w:rPr>
        <w:t>：</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（1）了解单开道岔的结构（转辙机、尖轨、基本轨、轨尖以及判定走形方向）；</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（2）了解手摇道岔所需备品；</w:t>
      </w:r>
    </w:p>
    <w:p>
      <w:pPr>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（3）掌握手摇道岔步骤。</w:t>
      </w:r>
    </w:p>
    <w:p>
      <w:pPr>
        <w:pStyle w:val="8"/>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Ⅲ.考试形式及试卷结构</w:t>
      </w:r>
    </w:p>
    <w:p>
      <w:pPr>
        <w:pStyle w:val="2"/>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一、考试形式</w:t>
      </w:r>
    </w:p>
    <w:p>
      <w:pPr>
        <w:keepNext w:val="0"/>
        <w:keepLines w:val="0"/>
        <w:pageBreakBefore w:val="0"/>
        <w:widowControl w:val="0"/>
        <w:kinsoku/>
        <w:wordWrap/>
        <w:overflowPunct/>
        <w:topLinePunct w:val="0"/>
        <w:autoSpaceDE/>
        <w:bidi w:val="0"/>
        <w:adjustRightInd/>
        <w:spacing w:line="48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1.考试采用闭卷、笔试形式；</w:t>
      </w:r>
    </w:p>
    <w:p>
      <w:pPr>
        <w:keepNext w:val="0"/>
        <w:keepLines w:val="0"/>
        <w:pageBreakBefore w:val="0"/>
        <w:widowControl w:val="0"/>
        <w:kinsoku/>
        <w:wordWrap/>
        <w:overflowPunct/>
        <w:topLinePunct w:val="0"/>
        <w:autoSpaceDE/>
        <w:bidi w:val="0"/>
        <w:adjustRightInd/>
        <w:spacing w:line="480" w:lineRule="exact"/>
        <w:ind w:right="0" w:rightChars="0"/>
        <w:rPr>
          <w:rFonts w:hint="eastAsia" w:ascii="宋体" w:hAnsi="宋体" w:eastAsia="宋体" w:cs="宋体"/>
          <w:color w:val="000000" w:themeColor="text1"/>
          <w:sz w:val="24"/>
          <w:szCs w:val="24"/>
        </w:rPr>
      </w:pPr>
      <w:r>
        <w:rPr>
          <w:rFonts w:hint="eastAsia" w:ascii="宋体" w:hAnsi="宋体" w:cs="宋体"/>
          <w:color w:val="000000" w:themeColor="text1"/>
          <w:sz w:val="24"/>
          <w:szCs w:val="24"/>
          <w:lang w:val="en-US" w:eastAsia="zh-CN"/>
        </w:rPr>
        <w:t xml:space="preserve">    </w:t>
      </w:r>
      <w:r>
        <w:rPr>
          <w:rFonts w:hint="eastAsia" w:ascii="宋体" w:hAnsi="宋体" w:eastAsia="宋体" w:cs="宋体"/>
          <w:color w:val="000000" w:themeColor="text1"/>
          <w:sz w:val="24"/>
          <w:szCs w:val="24"/>
        </w:rPr>
        <w:t>2.卷Ⅰ（合格性考试）满分为150分</w:t>
      </w:r>
      <w:r>
        <w:rPr>
          <w:rFonts w:hint="eastAsia" w:ascii="宋体" w:hAnsi="宋体" w:cs="宋体"/>
          <w:color w:val="000000" w:themeColor="text1"/>
          <w:sz w:val="24"/>
          <w:szCs w:val="24"/>
          <w:lang w:eastAsia="zh-CN"/>
        </w:rPr>
        <w:t>，</w:t>
      </w:r>
      <w:r>
        <w:rPr>
          <w:rFonts w:hint="eastAsia" w:ascii="宋体" w:hAnsi="宋体" w:eastAsia="宋体" w:cs="宋体"/>
          <w:color w:val="000000" w:themeColor="text1"/>
          <w:sz w:val="24"/>
          <w:szCs w:val="24"/>
        </w:rPr>
        <w:t>考试时间为90分钟；</w:t>
      </w:r>
    </w:p>
    <w:p>
      <w:pPr>
        <w:keepNext w:val="0"/>
        <w:keepLines w:val="0"/>
        <w:pageBreakBefore w:val="0"/>
        <w:widowControl w:val="0"/>
        <w:kinsoku/>
        <w:wordWrap/>
        <w:overflowPunct/>
        <w:topLinePunct w:val="0"/>
        <w:autoSpaceDE/>
        <w:bidi w:val="0"/>
        <w:adjustRightInd/>
        <w:spacing w:line="480" w:lineRule="exact"/>
        <w:ind w:right="0" w:rightChars="0"/>
        <w:rPr>
          <w:rFonts w:hint="eastAsia" w:ascii="宋体" w:hAnsi="宋体" w:eastAsia="宋体" w:cs="宋体"/>
          <w:color w:val="000000" w:themeColor="text1"/>
          <w:sz w:val="24"/>
          <w:szCs w:val="24"/>
        </w:rPr>
      </w:pPr>
      <w:r>
        <w:rPr>
          <w:rFonts w:hint="eastAsia" w:ascii="宋体" w:hAnsi="宋体" w:cs="宋体"/>
          <w:color w:val="000000" w:themeColor="text1"/>
          <w:sz w:val="24"/>
          <w:szCs w:val="24"/>
          <w:lang w:val="en-US" w:eastAsia="zh-CN"/>
        </w:rPr>
        <w:t xml:space="preserve">    </w:t>
      </w:r>
      <w:r>
        <w:rPr>
          <w:rFonts w:hint="eastAsia" w:ascii="宋体" w:hAnsi="宋体" w:eastAsia="宋体" w:cs="宋体"/>
          <w:color w:val="000000" w:themeColor="text1"/>
          <w:sz w:val="24"/>
          <w:szCs w:val="24"/>
        </w:rPr>
        <w:t>3.卷Ⅱ（等级性考试）满分为100分，考试时间为60分钟。</w:t>
      </w:r>
    </w:p>
    <w:p>
      <w:pPr>
        <w:pStyle w:val="2"/>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二、内容比例</w:t>
      </w:r>
    </w:p>
    <w:tbl>
      <w:tblPr>
        <w:tblStyle w:val="10"/>
        <w:tblW w:w="9073"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524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1135" w:type="dxa"/>
            <w:tcBorders>
              <w:top w:val="single" w:color="auto" w:sz="4" w:space="0"/>
              <w:left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序号</w:t>
            </w:r>
          </w:p>
        </w:tc>
        <w:tc>
          <w:tcPr>
            <w:tcW w:w="5245" w:type="dxa"/>
            <w:tcBorders>
              <w:top w:val="single" w:color="auto" w:sz="4" w:space="0"/>
              <w:left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内容</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b/>
                <w:color w:val="000000" w:themeColor="text1"/>
                <w:sz w:val="24"/>
                <w:szCs w:val="24"/>
              </w:rPr>
            </w:pPr>
            <w:r>
              <w:rPr>
                <w:rFonts w:hint="eastAsia" w:ascii="宋体" w:hAnsi="宋体" w:eastAsia="宋体" w:cs="宋体"/>
                <w:b/>
                <w:color w:val="000000" w:themeColor="text1"/>
                <w:sz w:val="24"/>
                <w:szCs w:val="24"/>
              </w:rPr>
              <w:t>分值比例（约占）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一</w:t>
            </w:r>
          </w:p>
        </w:tc>
        <w:tc>
          <w:tcPr>
            <w:tcW w:w="524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城市轨道交通运营安全管理的主要内容</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1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二</w:t>
            </w:r>
          </w:p>
        </w:tc>
        <w:tc>
          <w:tcPr>
            <w:tcW w:w="5245" w:type="dxa"/>
            <w:tcBorders>
              <w:top w:val="single" w:color="auto" w:sz="4" w:space="0"/>
              <w:left w:val="single" w:color="auto" w:sz="4" w:space="0"/>
              <w:bottom w:val="single" w:color="auto" w:sz="4" w:space="0"/>
              <w:right w:val="single" w:color="auto" w:sz="4" w:space="0"/>
            </w:tcBorders>
            <w:vAlign w:val="center"/>
          </w:tcPr>
          <w:p>
            <w:pPr>
              <w:pStyle w:val="17"/>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运营企业生产部门安全管理规定</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1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三</w:t>
            </w:r>
          </w:p>
        </w:tc>
        <w:tc>
          <w:tcPr>
            <w:tcW w:w="5245"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widowControl w:val="0"/>
              <w:kinsoku/>
              <w:wordWrap/>
              <w:overflowPunct/>
              <w:topLinePunct w:val="0"/>
              <w:autoSpaceDE/>
              <w:autoSpaceDN w:val="0"/>
              <w:bidi w:val="0"/>
              <w:adjustRightInd/>
              <w:snapToGrid w:val="0"/>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危险源识别与控制</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113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四</w:t>
            </w:r>
          </w:p>
        </w:tc>
        <w:tc>
          <w:tcPr>
            <w:tcW w:w="5245" w:type="dxa"/>
            <w:tcBorders>
              <w:top w:val="single" w:color="auto" w:sz="4" w:space="0"/>
              <w:left w:val="single" w:color="auto" w:sz="4" w:space="0"/>
              <w:bottom w:val="single" w:color="auto" w:sz="4" w:space="0"/>
              <w:right w:val="single" w:color="auto" w:sz="4" w:space="0"/>
            </w:tcBorders>
            <w:vAlign w:val="center"/>
          </w:tcPr>
          <w:p>
            <w:pPr>
              <w:pStyle w:val="12"/>
              <w:keepNext w:val="0"/>
              <w:keepLines w:val="0"/>
              <w:pageBreakBefore w:val="0"/>
              <w:widowControl w:val="0"/>
              <w:kinsoku/>
              <w:wordWrap/>
              <w:overflowPunct/>
              <w:topLinePunct w:val="0"/>
              <w:autoSpaceDE/>
              <w:bidi w:val="0"/>
              <w:adjustRightInd/>
              <w:spacing w:line="520" w:lineRule="exact"/>
              <w:ind w:right="0" w:rightChars="0" w:firstLine="480" w:firstLineChars="200"/>
              <w:jc w:val="left"/>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通用安全知识</w:t>
            </w:r>
          </w:p>
        </w:tc>
        <w:tc>
          <w:tcPr>
            <w:tcW w:w="26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81"/>
                <w:tab w:val="left" w:pos="2031"/>
              </w:tabs>
              <w:kinsoku/>
              <w:wordWrap/>
              <w:overflowPunct/>
              <w:topLinePunct w:val="0"/>
              <w:autoSpaceDE/>
              <w:bidi w:val="0"/>
              <w:adjustRightInd/>
              <w:snapToGrid w:val="0"/>
              <w:spacing w:line="520" w:lineRule="exact"/>
              <w:ind w:right="0" w:rightChars="0"/>
              <w:jc w:val="center"/>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30%</w:t>
            </w:r>
          </w:p>
        </w:tc>
      </w:tr>
    </w:tbl>
    <w:p>
      <w:pPr>
        <w:pStyle w:val="2"/>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三、考试题型</w:t>
      </w:r>
    </w:p>
    <w:p>
      <w:pPr>
        <w:pStyle w:val="4"/>
        <w:keepNext w:val="0"/>
        <w:keepLines w:val="0"/>
        <w:pageBreakBefore w:val="0"/>
        <w:widowControl w:val="0"/>
        <w:kinsoku/>
        <w:wordWrap/>
        <w:overflowPunct/>
        <w:topLinePunct w:val="0"/>
        <w:autoSpaceDE/>
        <w:bidi w:val="0"/>
        <w:adjustRightInd/>
        <w:snapToGrid w:val="0"/>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1.卷Ⅰ（合格性考试）包括单项选择题、判断题和简答题等题型；</w:t>
      </w:r>
    </w:p>
    <w:p>
      <w:pPr>
        <w:pStyle w:val="4"/>
        <w:keepNext w:val="0"/>
        <w:keepLines w:val="0"/>
        <w:pageBreakBefore w:val="0"/>
        <w:widowControl w:val="0"/>
        <w:kinsoku/>
        <w:wordWrap/>
        <w:overflowPunct/>
        <w:topLinePunct w:val="0"/>
        <w:autoSpaceDE/>
        <w:bidi w:val="0"/>
        <w:adjustRightInd/>
        <w:snapToGrid w:val="0"/>
        <w:spacing w:line="520" w:lineRule="exact"/>
        <w:ind w:right="0" w:rightChars="0"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rPr>
        <w:t>2.卷Ⅱ（等级性考试）包括单项选择题、多项选择题、判断题和简答题等题型。</w:t>
      </w:r>
    </w:p>
    <w:p>
      <w:pPr>
        <w:keepNext w:val="0"/>
        <w:keepLines w:val="0"/>
        <w:pageBreakBefore w:val="0"/>
        <w:widowControl w:val="0"/>
        <w:kinsoku/>
        <w:wordWrap/>
        <w:overflowPunct/>
        <w:topLinePunct w:val="0"/>
        <w:autoSpaceDE/>
        <w:bidi w:val="0"/>
        <w:adjustRightInd/>
        <w:ind w:right="0" w:rightChars="0" w:firstLine="480" w:firstLineChars="200"/>
        <w:rPr>
          <w:rFonts w:hint="eastAsia" w:ascii="宋体" w:hAnsi="宋体" w:eastAsia="宋体" w:cs="宋体"/>
          <w:color w:val="000000" w:themeColor="text1"/>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6A6311"/>
    <w:rsid w:val="00084E57"/>
    <w:rsid w:val="000C5CA6"/>
    <w:rsid w:val="000D4413"/>
    <w:rsid w:val="000E71E5"/>
    <w:rsid w:val="000F257F"/>
    <w:rsid w:val="001045FC"/>
    <w:rsid w:val="00210393"/>
    <w:rsid w:val="002246F4"/>
    <w:rsid w:val="00240B7A"/>
    <w:rsid w:val="00246936"/>
    <w:rsid w:val="00266B98"/>
    <w:rsid w:val="002B1600"/>
    <w:rsid w:val="002B16CB"/>
    <w:rsid w:val="002F6A8C"/>
    <w:rsid w:val="00356496"/>
    <w:rsid w:val="00364ACF"/>
    <w:rsid w:val="00377A46"/>
    <w:rsid w:val="003A4465"/>
    <w:rsid w:val="00465E0F"/>
    <w:rsid w:val="004F0500"/>
    <w:rsid w:val="00507A4F"/>
    <w:rsid w:val="00516A8F"/>
    <w:rsid w:val="00524DF3"/>
    <w:rsid w:val="0055047A"/>
    <w:rsid w:val="00556DA4"/>
    <w:rsid w:val="005740D5"/>
    <w:rsid w:val="005B5A86"/>
    <w:rsid w:val="00605A1B"/>
    <w:rsid w:val="00607574"/>
    <w:rsid w:val="00617DC8"/>
    <w:rsid w:val="00661A0C"/>
    <w:rsid w:val="006739D9"/>
    <w:rsid w:val="006964FA"/>
    <w:rsid w:val="006A6311"/>
    <w:rsid w:val="006B574C"/>
    <w:rsid w:val="006C7477"/>
    <w:rsid w:val="00705CBD"/>
    <w:rsid w:val="00754EE8"/>
    <w:rsid w:val="00755EC8"/>
    <w:rsid w:val="007C2044"/>
    <w:rsid w:val="007C34A3"/>
    <w:rsid w:val="00861D69"/>
    <w:rsid w:val="008968B6"/>
    <w:rsid w:val="008C5BF0"/>
    <w:rsid w:val="0098052B"/>
    <w:rsid w:val="00982546"/>
    <w:rsid w:val="009C0A7F"/>
    <w:rsid w:val="009E671C"/>
    <w:rsid w:val="00A022DF"/>
    <w:rsid w:val="00A132C1"/>
    <w:rsid w:val="00A25FE9"/>
    <w:rsid w:val="00AB47A8"/>
    <w:rsid w:val="00AC35C0"/>
    <w:rsid w:val="00AD6AF5"/>
    <w:rsid w:val="00AE12AF"/>
    <w:rsid w:val="00AF4985"/>
    <w:rsid w:val="00AF63AB"/>
    <w:rsid w:val="00B05F6E"/>
    <w:rsid w:val="00B35F23"/>
    <w:rsid w:val="00B62BA4"/>
    <w:rsid w:val="00BB739B"/>
    <w:rsid w:val="00BE35D8"/>
    <w:rsid w:val="00C34467"/>
    <w:rsid w:val="00C4632D"/>
    <w:rsid w:val="00C82E89"/>
    <w:rsid w:val="00CC36BA"/>
    <w:rsid w:val="00CD339A"/>
    <w:rsid w:val="00D07629"/>
    <w:rsid w:val="00D103EB"/>
    <w:rsid w:val="00D12E95"/>
    <w:rsid w:val="00D53524"/>
    <w:rsid w:val="00D558B1"/>
    <w:rsid w:val="00D65369"/>
    <w:rsid w:val="00D926B9"/>
    <w:rsid w:val="00D96EC1"/>
    <w:rsid w:val="00DB3EE6"/>
    <w:rsid w:val="00DE0980"/>
    <w:rsid w:val="00E1092E"/>
    <w:rsid w:val="00E762F8"/>
    <w:rsid w:val="00E94762"/>
    <w:rsid w:val="00EC2431"/>
    <w:rsid w:val="00ED3AC6"/>
    <w:rsid w:val="00F31B1C"/>
    <w:rsid w:val="00F53BE7"/>
    <w:rsid w:val="00FB431A"/>
    <w:rsid w:val="022C59B6"/>
    <w:rsid w:val="15D46027"/>
    <w:rsid w:val="1FC9041E"/>
    <w:rsid w:val="362F08D9"/>
    <w:rsid w:val="4C2108C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1"/>
    <w:qFormat/>
    <w:uiPriority w:val="9"/>
    <w:pPr>
      <w:spacing w:line="520" w:lineRule="exact"/>
      <w:outlineLvl w:val="0"/>
    </w:pPr>
    <w:rPr>
      <w:rFonts w:ascii="宋体" w:hAnsi="宋体"/>
      <w:b/>
      <w:sz w:val="28"/>
      <w:szCs w:val="28"/>
    </w:rPr>
  </w:style>
  <w:style w:type="paragraph" w:styleId="3">
    <w:name w:val="heading 3"/>
    <w:basedOn w:val="1"/>
    <w:next w:val="1"/>
    <w:link w:val="19"/>
    <w:qFormat/>
    <w:uiPriority w:val="0"/>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4">
    <w:name w:val="annotation text"/>
    <w:basedOn w:val="1"/>
    <w:link w:val="16"/>
    <w:unhideWhenUsed/>
    <w:qFormat/>
    <w:uiPriority w:val="0"/>
    <w:pPr>
      <w:jc w:val="left"/>
    </w:pPr>
  </w:style>
  <w:style w:type="paragraph" w:styleId="5">
    <w:name w:val="Balloon Text"/>
    <w:basedOn w:val="1"/>
    <w:link w:val="13"/>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itle"/>
    <w:basedOn w:val="4"/>
    <w:next w:val="1"/>
    <w:link w:val="18"/>
    <w:qFormat/>
    <w:uiPriority w:val="10"/>
    <w:pPr>
      <w:spacing w:line="520" w:lineRule="exact"/>
      <w:jc w:val="center"/>
    </w:pPr>
    <w:rPr>
      <w:rFonts w:ascii="宋体" w:hAnsi="宋体" w:cs="宋体"/>
      <w:b/>
      <w:sz w:val="28"/>
      <w:szCs w:val="28"/>
    </w:rPr>
  </w:style>
  <w:style w:type="character" w:customStyle="1" w:styleId="11">
    <w:name w:val="标题 1 Char"/>
    <w:basedOn w:val="9"/>
    <w:link w:val="2"/>
    <w:qFormat/>
    <w:uiPriority w:val="9"/>
    <w:rPr>
      <w:rFonts w:ascii="宋体" w:hAnsi="宋体" w:eastAsia="宋体" w:cs="Times New Roman"/>
      <w:b/>
      <w:sz w:val="28"/>
      <w:szCs w:val="28"/>
    </w:rPr>
  </w:style>
  <w:style w:type="paragraph" w:customStyle="1" w:styleId="12">
    <w:name w:val="List Paragraph"/>
    <w:basedOn w:val="1"/>
    <w:qFormat/>
    <w:uiPriority w:val="34"/>
    <w:pPr>
      <w:ind w:firstLine="420" w:firstLineChars="200"/>
    </w:pPr>
  </w:style>
  <w:style w:type="character" w:customStyle="1" w:styleId="13">
    <w:name w:val="批注框文本 Char"/>
    <w:basedOn w:val="9"/>
    <w:link w:val="5"/>
    <w:semiHidden/>
    <w:qFormat/>
    <w:uiPriority w:val="99"/>
    <w:rPr>
      <w:rFonts w:ascii="Calibri" w:hAnsi="Calibri" w:eastAsia="宋体" w:cs="Times New Roman"/>
      <w:sz w:val="18"/>
      <w:szCs w:val="18"/>
    </w:rPr>
  </w:style>
  <w:style w:type="character" w:customStyle="1" w:styleId="14">
    <w:name w:val="页眉 Char"/>
    <w:basedOn w:val="9"/>
    <w:link w:val="7"/>
    <w:qFormat/>
    <w:uiPriority w:val="99"/>
    <w:rPr>
      <w:rFonts w:ascii="Calibri" w:hAnsi="Calibri" w:eastAsia="宋体" w:cs="Times New Roman"/>
      <w:sz w:val="18"/>
      <w:szCs w:val="18"/>
    </w:rPr>
  </w:style>
  <w:style w:type="character" w:customStyle="1" w:styleId="15">
    <w:name w:val="页脚 Char"/>
    <w:basedOn w:val="9"/>
    <w:link w:val="6"/>
    <w:qFormat/>
    <w:uiPriority w:val="99"/>
    <w:rPr>
      <w:rFonts w:ascii="Calibri" w:hAnsi="Calibri" w:eastAsia="宋体" w:cs="Times New Roman"/>
      <w:sz w:val="18"/>
      <w:szCs w:val="18"/>
    </w:rPr>
  </w:style>
  <w:style w:type="character" w:customStyle="1" w:styleId="16">
    <w:name w:val="批注文字 Char"/>
    <w:basedOn w:val="9"/>
    <w:link w:val="4"/>
    <w:qFormat/>
    <w:uiPriority w:val="0"/>
    <w:rPr>
      <w:rFonts w:ascii="Calibri" w:hAnsi="Calibri" w:eastAsia="宋体" w:cs="Times New Roman"/>
      <w:szCs w:val="24"/>
    </w:rPr>
  </w:style>
  <w:style w:type="paragraph" w:customStyle="1" w:styleId="17">
    <w:name w:val="列出段落1"/>
    <w:basedOn w:val="1"/>
    <w:qFormat/>
    <w:uiPriority w:val="0"/>
    <w:pPr>
      <w:ind w:firstLine="420" w:firstLineChars="200"/>
    </w:pPr>
    <w:rPr>
      <w:szCs w:val="22"/>
    </w:rPr>
  </w:style>
  <w:style w:type="character" w:customStyle="1" w:styleId="18">
    <w:name w:val="标题 Char"/>
    <w:basedOn w:val="9"/>
    <w:link w:val="8"/>
    <w:uiPriority w:val="10"/>
    <w:rPr>
      <w:rFonts w:ascii="宋体" w:hAnsi="宋体" w:eastAsia="宋体" w:cs="宋体"/>
      <w:b/>
      <w:sz w:val="28"/>
      <w:szCs w:val="28"/>
    </w:rPr>
  </w:style>
  <w:style w:type="character" w:customStyle="1" w:styleId="19">
    <w:name w:val="标题 3 Char"/>
    <w:basedOn w:val="9"/>
    <w:link w:val="3"/>
    <w:qFormat/>
    <w:uiPriority w:val="0"/>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578</Words>
  <Characters>3297</Characters>
  <Lines>27</Lines>
  <Paragraphs>7</Paragraphs>
  <ScaleCrop>false</ScaleCrop>
  <LinksUpToDate>false</LinksUpToDate>
  <CharactersWithSpaces>3868</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2021-01-07T11:01:00Z</dcterms:created>
  <dc:creator>谢 芳</dc:creator>
  <cp:lastModifiedBy>7】；‘</cp:lastModifiedBy>
  <dcterms:modified xsi:type="dcterms:W3CDTF">2021-01-29T07:48:29Z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