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exact"/>
        <w:jc w:val="center"/>
        <w:rPr>
          <w:rFonts w:hint="eastAsia" w:ascii="黑体" w:hAnsi="黑体" w:eastAsia="黑体" w:cs="黑体"/>
          <w:b/>
          <w:bCs w:val="0"/>
          <w:spacing w:val="20"/>
          <w:sz w:val="32"/>
          <w:szCs w:val="32"/>
        </w:rPr>
      </w:pPr>
      <w:r>
        <w:rPr>
          <w:rFonts w:hint="eastAsia" w:ascii="黑体" w:hAnsi="黑体" w:eastAsia="黑体" w:cs="黑体"/>
          <w:b/>
          <w:bCs w:val="0"/>
          <w:spacing w:val="20"/>
          <w:sz w:val="32"/>
          <w:szCs w:val="32"/>
        </w:rPr>
        <w:t>福建省中等职业学校学业水平考试</w:t>
      </w:r>
    </w:p>
    <w:p>
      <w:pPr>
        <w:pStyle w:val="2"/>
        <w:spacing w:line="360" w:lineRule="exact"/>
        <w:jc w:val="center"/>
        <w:rPr>
          <w:rFonts w:hint="eastAsia" w:ascii="黑体" w:hAnsi="黑体" w:eastAsia="黑体" w:cs="黑体"/>
          <w:b/>
          <w:bCs w:val="0"/>
          <w:spacing w:val="20"/>
          <w:sz w:val="32"/>
          <w:szCs w:val="32"/>
        </w:rPr>
      </w:pPr>
      <w:r>
        <w:rPr>
          <w:rFonts w:hint="eastAsia" w:ascii="黑体" w:hAnsi="黑体" w:eastAsia="黑体" w:cs="黑体"/>
          <w:b/>
          <w:bCs w:val="0"/>
          <w:spacing w:val="20"/>
          <w:sz w:val="32"/>
          <w:szCs w:val="32"/>
        </w:rPr>
        <w:t>《办公事务管理》</w:t>
      </w:r>
      <w:r>
        <w:rPr>
          <w:rFonts w:hint="eastAsia" w:ascii="黑体" w:hAnsi="黑体" w:eastAsia="黑体" w:cs="黑体"/>
          <w:b/>
          <w:bCs w:val="0"/>
          <w:spacing w:val="20"/>
          <w:sz w:val="32"/>
          <w:szCs w:val="32"/>
          <w:lang w:val="en-US" w:eastAsia="zh-CN"/>
        </w:rPr>
        <w:t>课程</w:t>
      </w:r>
      <w:r>
        <w:rPr>
          <w:rFonts w:hint="eastAsia" w:ascii="黑体" w:hAnsi="黑体" w:eastAsia="黑体" w:cs="黑体"/>
          <w:b/>
          <w:bCs w:val="0"/>
          <w:spacing w:val="20"/>
          <w:sz w:val="32"/>
          <w:szCs w:val="32"/>
        </w:rPr>
        <w:t>考试大纲</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000000"/>
          <w:sz w:val="24"/>
          <w:szCs w:val="24"/>
        </w:rPr>
        <w:t>本考试大纲以教育部《中等职业学校专业教学标准》为指导</w:t>
      </w:r>
      <w:r>
        <w:rPr>
          <w:rFonts w:hint="eastAsia" w:ascii="宋体" w:hAnsi="宋体" w:eastAsia="宋体" w:cs="宋体"/>
          <w:color w:val="auto"/>
          <w:sz w:val="24"/>
          <w:szCs w:val="24"/>
        </w:rPr>
        <w:t>，结合我省中职学校《办公事务管理》课程教学的实际情况而制定。</w:t>
      </w:r>
    </w:p>
    <w:p>
      <w:pPr>
        <w:keepNext w:val="0"/>
        <w:keepLines w:val="0"/>
        <w:pageBreakBefore w:val="0"/>
        <w:shd w:val="clear" w:color="auto" w:fill="FFFFFF"/>
        <w:kinsoku/>
        <w:wordWrap/>
        <w:overflowPunct/>
        <w:topLinePunct w:val="0"/>
        <w:autoSpaceDE/>
        <w:bidi w:val="0"/>
        <w:adjustRightInd/>
        <w:spacing w:line="460" w:lineRule="exact"/>
        <w:ind w:right="0" w:rightChars="0" w:firstLine="480" w:firstLineChars="200"/>
        <w:jc w:val="left"/>
        <w:textAlignment w:val="auto"/>
        <w:outlineLvl w:val="9"/>
        <w:rPr>
          <w:rFonts w:hint="eastAsia" w:ascii="宋体" w:hAnsi="宋体" w:eastAsia="宋体" w:cs="宋体"/>
          <w:sz w:val="24"/>
          <w:szCs w:val="24"/>
        </w:rPr>
      </w:pPr>
    </w:p>
    <w:p>
      <w:pPr>
        <w:pStyle w:val="3"/>
        <w:keepNext w:val="0"/>
        <w:keepLines w:val="0"/>
        <w:pageBreakBefore w:val="0"/>
        <w:kinsoku/>
        <w:wordWrap/>
        <w:overflowPunct/>
        <w:topLinePunct w:val="0"/>
        <w:autoSpaceDE/>
        <w:bidi w:val="0"/>
        <w:adjustRightInd/>
        <w:spacing w:line="460" w:lineRule="exact"/>
        <w:ind w:right="0" w:rightChars="0"/>
        <w:jc w:val="center"/>
        <w:textAlignment w:val="auto"/>
        <w:outlineLvl w:val="9"/>
        <w:rPr>
          <w:rFonts w:hint="eastAsia" w:ascii="宋体" w:hAnsi="宋体" w:eastAsia="宋体" w:cs="宋体"/>
          <w:b/>
          <w:bCs/>
          <w:sz w:val="24"/>
          <w:szCs w:val="24"/>
        </w:rPr>
      </w:pPr>
      <w:r>
        <w:rPr>
          <w:rFonts w:hint="eastAsia" w:ascii="宋体" w:hAnsi="宋体" w:eastAsia="宋体" w:cs="宋体"/>
          <w:b/>
          <w:bCs/>
          <w:color w:val="auto"/>
          <w:sz w:val="24"/>
          <w:szCs w:val="24"/>
        </w:rPr>
        <w:t>Ⅰ.</w:t>
      </w:r>
      <w:r>
        <w:rPr>
          <w:rFonts w:hint="eastAsia" w:ascii="宋体" w:hAnsi="宋体" w:eastAsia="宋体" w:cs="宋体"/>
          <w:b/>
          <w:bCs/>
          <w:sz w:val="24"/>
          <w:szCs w:val="24"/>
        </w:rPr>
        <w:t>考试目标与要求</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《办公事务管理》课程主要考查学生对办公事务管理知识的认知程度和运用知识分析问题、解决问题的能力，能达到职业岗位能力的基本要求。考试目标与要求如下：</w:t>
      </w:r>
      <w:bookmarkStart w:id="0" w:name="_GoBack"/>
      <w:bookmarkEnd w:id="0"/>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1.了解层次：要求对某一概念、知识内容，能够准确再认、再现，具有初步识别、辨认事实或正确描述对象的基本特征的能力，即知道“是什么”。</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2.理解层次：要求对某一概念、知识内容，在了解基础上，能够深刻领会相关知识、原理、方法，并借此解释、推断、分析现象，辨明正误，即明白“为什么”。</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3.掌握层次：要求能够灵活运用相关原理、法则和方法，综合分析、解决实际问题，进行总结论述，与已有技能建立联系，即清楚“怎么办”。</w:t>
      </w:r>
    </w:p>
    <w:p>
      <w:pPr>
        <w:keepNext w:val="0"/>
        <w:keepLines w:val="0"/>
        <w:pageBreakBefore w:val="0"/>
        <w:kinsoku/>
        <w:wordWrap/>
        <w:overflowPunct/>
        <w:topLinePunct w:val="0"/>
        <w:autoSpaceDE/>
        <w:bidi w:val="0"/>
        <w:adjustRightInd/>
        <w:spacing w:line="480" w:lineRule="exact"/>
        <w:ind w:right="0" w:rightChars="0"/>
        <w:textAlignment w:val="auto"/>
        <w:outlineLvl w:val="9"/>
        <w:rPr>
          <w:rFonts w:hint="eastAsia" w:ascii="宋体" w:hAnsi="宋体" w:eastAsia="宋体" w:cs="宋体"/>
          <w:sz w:val="24"/>
          <w:szCs w:val="24"/>
        </w:rPr>
      </w:pPr>
    </w:p>
    <w:p>
      <w:pPr>
        <w:keepNext w:val="0"/>
        <w:keepLines w:val="0"/>
        <w:pageBreakBefore w:val="0"/>
        <w:kinsoku/>
        <w:wordWrap/>
        <w:overflowPunct/>
        <w:topLinePunct w:val="0"/>
        <w:autoSpaceDE/>
        <w:autoSpaceDN w:val="0"/>
        <w:bidi w:val="0"/>
        <w:adjustRightInd/>
        <w:snapToGrid w:val="0"/>
        <w:spacing w:line="480" w:lineRule="exact"/>
        <w:ind w:right="0" w:rightChars="0"/>
        <w:jc w:val="center"/>
        <w:textAlignment w:val="auto"/>
        <w:outlineLvl w:val="9"/>
        <w:rPr>
          <w:rFonts w:hint="eastAsia" w:ascii="宋体" w:hAnsi="宋体" w:eastAsia="宋体" w:cs="宋体"/>
          <w:b/>
          <w:sz w:val="24"/>
          <w:szCs w:val="24"/>
        </w:rPr>
      </w:pPr>
      <w:r>
        <w:rPr>
          <w:rFonts w:hint="eastAsia" w:ascii="宋体" w:hAnsi="宋体" w:eastAsia="宋体" w:cs="宋体"/>
          <w:b/>
          <w:color w:val="auto"/>
          <w:sz w:val="24"/>
          <w:szCs w:val="24"/>
        </w:rPr>
        <w:t>Ⅱ.</w:t>
      </w:r>
      <w:r>
        <w:rPr>
          <w:rFonts w:hint="eastAsia" w:ascii="宋体" w:hAnsi="宋体" w:eastAsia="宋体" w:cs="宋体"/>
          <w:b/>
          <w:sz w:val="24"/>
          <w:szCs w:val="24"/>
        </w:rPr>
        <w:t>考试范围与考核要求</w:t>
      </w:r>
    </w:p>
    <w:p>
      <w:pPr>
        <w:keepNext w:val="0"/>
        <w:keepLines w:val="0"/>
        <w:pageBreakBefore w:val="0"/>
        <w:shd w:val="clear" w:color="auto" w:fill="FFFFFF"/>
        <w:kinsoku/>
        <w:wordWrap/>
        <w:overflowPunct/>
        <w:topLinePunct w:val="0"/>
        <w:autoSpaceDE/>
        <w:bidi w:val="0"/>
        <w:adjustRightInd/>
        <w:spacing w:line="460" w:lineRule="exact"/>
        <w:ind w:right="0" w:rightChars="0"/>
        <w:jc w:val="center"/>
        <w:textAlignment w:val="auto"/>
        <w:outlineLvl w:val="9"/>
        <w:rPr>
          <w:rFonts w:hint="eastAsia" w:ascii="宋体" w:hAnsi="宋体" w:eastAsia="宋体" w:cs="宋体"/>
          <w:b/>
          <w:color w:val="000000"/>
          <w:kern w:val="0"/>
          <w:sz w:val="24"/>
          <w:szCs w:val="24"/>
        </w:rPr>
      </w:pPr>
      <w:r>
        <w:rPr>
          <w:rFonts w:hint="eastAsia" w:ascii="宋体" w:hAnsi="宋体" w:eastAsia="宋体" w:cs="宋体"/>
          <w:b/>
          <w:color w:val="000000"/>
          <w:kern w:val="0"/>
          <w:sz w:val="24"/>
          <w:szCs w:val="24"/>
        </w:rPr>
        <w:t>模块一  办公环境管理事务</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1.了解办公室布置的类型及其含义、布置时应考虑的因素、基本要求</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2.理解开放式办公室和封闭式办公室的优缺点</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3.掌握办公室布置的基本原则</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4.了解常用办公物品的分类及其放置要求</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5.了解办公桌整理的技巧、办公设备的保养要求</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6.了解文员办公责任区域的管理范围及其清洁整理职责</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7.掌握办公环境的构成要素及营造健康、安全的办公环境的基本要求</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8.理解办公室常见的有碍健康和安全隐患的种类</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9.掌握办公环境安全检查的工作程序</w:t>
      </w:r>
      <w:r>
        <w:rPr>
          <w:rFonts w:hint="eastAsia" w:ascii="宋体" w:hAnsi="宋体" w:eastAsia="宋体" w:cs="宋体"/>
          <w:color w:val="auto"/>
          <w:sz w:val="24"/>
          <w:szCs w:val="24"/>
          <w:lang w:eastAsia="zh-CN"/>
        </w:rPr>
        <w:t>。</w:t>
      </w:r>
    </w:p>
    <w:p>
      <w:pPr>
        <w:keepNext w:val="0"/>
        <w:keepLines w:val="0"/>
        <w:pageBreakBefore w:val="0"/>
        <w:shd w:val="clear" w:color="auto" w:fill="FFFFFF"/>
        <w:kinsoku/>
        <w:wordWrap/>
        <w:overflowPunct/>
        <w:topLinePunct w:val="0"/>
        <w:autoSpaceDE/>
        <w:bidi w:val="0"/>
        <w:adjustRightInd/>
        <w:spacing w:line="460" w:lineRule="exact"/>
        <w:ind w:right="0" w:rightChars="0"/>
        <w:jc w:val="center"/>
        <w:textAlignment w:val="auto"/>
        <w:outlineLvl w:val="9"/>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模块二  办公室日常事务</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1.理解接打电话的基本要求</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2.掌握接电话、打电话的步骤</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3.掌握接收邮件、发送邮件的程序</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4.了解电子邮件处理的注意事项</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5.了解印章的含义、种类、刻制与启用程序</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6.理解印章的作用</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7.掌握印章的使用程序、保管要求</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8.了解电子印章的含义、特点、载体</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9.理解介绍信的作用、特性、种类</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10.掌握介绍信的使用程序、使用注意事项、管理要求</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11.了解公司有关证照的类型、范围、办理、使用和管理常识</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12.掌握值班工作的内容、基本要求、工作制度</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13.了解突发事件的含义、特点、处理要求</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14.掌握处理突发事件的原则、工作程序</w:t>
      </w:r>
      <w:r>
        <w:rPr>
          <w:rFonts w:hint="eastAsia" w:ascii="宋体" w:hAnsi="宋体" w:eastAsia="宋体" w:cs="宋体"/>
          <w:color w:val="auto"/>
          <w:sz w:val="24"/>
          <w:szCs w:val="24"/>
          <w:lang w:eastAsia="zh-CN"/>
        </w:rPr>
        <w:t>。</w:t>
      </w:r>
    </w:p>
    <w:p>
      <w:pPr>
        <w:keepNext w:val="0"/>
        <w:keepLines w:val="0"/>
        <w:pageBreakBefore w:val="0"/>
        <w:shd w:val="clear" w:color="auto" w:fill="FFFFFF"/>
        <w:kinsoku/>
        <w:wordWrap/>
        <w:overflowPunct/>
        <w:topLinePunct w:val="0"/>
        <w:autoSpaceDE/>
        <w:bidi w:val="0"/>
        <w:adjustRightInd/>
        <w:spacing w:line="460" w:lineRule="exact"/>
        <w:ind w:right="0" w:rightChars="0"/>
        <w:jc w:val="center"/>
        <w:textAlignment w:val="auto"/>
        <w:outlineLvl w:val="9"/>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模块三  接待管理事务</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1.了解文员形象要求的基本常识</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2.掌握预约接待、未预约接待的工作程序和要求</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3.掌握接待中各种礼貌礼节的基本常识</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4.掌握制订重要活动的接待方案</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5.了解如何为客人做好抵达后的接待服务、住宿、交通等工作</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6.掌握宴请工作的相关礼仪知识</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7.了解如何做好送别客人和接待后的整理与总结工作</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8.理解涉外接待的原则、礼宾次序的排列方法及要求</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9.了解涉外接待馈赠礼品的礼貌礼节常识</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10.了解涉外宴请相关礼仪知识</w:t>
      </w:r>
      <w:r>
        <w:rPr>
          <w:rFonts w:hint="eastAsia" w:ascii="宋体" w:hAnsi="宋体" w:eastAsia="宋体" w:cs="宋体"/>
          <w:color w:val="auto"/>
          <w:sz w:val="24"/>
          <w:szCs w:val="24"/>
          <w:lang w:eastAsia="zh-CN"/>
        </w:rPr>
        <w:t>。</w:t>
      </w:r>
    </w:p>
    <w:p>
      <w:pPr>
        <w:keepNext w:val="0"/>
        <w:keepLines w:val="0"/>
        <w:pageBreakBefore w:val="0"/>
        <w:shd w:val="clear" w:color="auto" w:fill="FFFFFF"/>
        <w:kinsoku/>
        <w:wordWrap/>
        <w:overflowPunct/>
        <w:topLinePunct w:val="0"/>
        <w:autoSpaceDE/>
        <w:bidi w:val="0"/>
        <w:adjustRightInd/>
        <w:spacing w:line="460" w:lineRule="exact"/>
        <w:ind w:right="0" w:rightChars="0"/>
        <w:jc w:val="center"/>
        <w:textAlignment w:val="auto"/>
        <w:outlineLvl w:val="9"/>
        <w:rPr>
          <w:rFonts w:hint="eastAsia" w:ascii="宋体" w:hAnsi="宋体" w:eastAsia="宋体" w:cs="宋体"/>
          <w:b/>
          <w:color w:val="auto"/>
          <w:kern w:val="0"/>
          <w:sz w:val="24"/>
          <w:szCs w:val="24"/>
        </w:rPr>
      </w:pPr>
      <w:r>
        <w:rPr>
          <w:rFonts w:hint="eastAsia" w:ascii="宋体" w:hAnsi="宋体" w:eastAsia="宋体" w:cs="宋体"/>
          <w:b/>
          <w:color w:val="auto"/>
          <w:kern w:val="0"/>
          <w:sz w:val="24"/>
          <w:szCs w:val="24"/>
        </w:rPr>
        <w:t>模块四  领导活动管理事务</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1.了解工作时间表的含义、类型</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2.了解领导工作日志的内容</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3.理解领导工作日志的形式及其优缺点</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4.掌握工作时间表、领导工作日志的编制方法</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5.理解商务旅行计划的基本内容</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6.了解在商务旅行时如何选择交通工具及预订车、船、机票、酒店</w:t>
      </w:r>
      <w:r>
        <w:rPr>
          <w:rFonts w:hint="eastAsia" w:ascii="宋体" w:hAnsi="宋体" w:eastAsia="宋体" w:cs="宋体"/>
          <w:color w:val="auto"/>
          <w:sz w:val="24"/>
          <w:szCs w:val="24"/>
          <w:lang w:eastAsia="zh-CN"/>
        </w:rPr>
        <w:t>。</w:t>
      </w:r>
    </w:p>
    <w:p>
      <w:pPr>
        <w:keepNext w:val="0"/>
        <w:keepLines w:val="0"/>
        <w:pageBreakBefore w:val="0"/>
        <w:kinsoku/>
        <w:wordWrap/>
        <w:overflowPunct/>
        <w:topLinePunct w:val="0"/>
        <w:autoSpaceDE/>
        <w:bidi w:val="0"/>
        <w:adjustRightInd/>
        <w:spacing w:line="460" w:lineRule="exact"/>
        <w:ind w:right="0" w:rightChars="0"/>
        <w:jc w:val="center"/>
        <w:textAlignment w:val="auto"/>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模块五  办公资产管理事务</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1.了解办公用品的类型及其采购方式</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2.掌握办公用品采购计划的制订、采购流程的确定</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3.理解办公用品采购的申请和订货、供应商的选择</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4.理解办公用品购买、发放的注意事项</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5.了解办公用品的入库和保管要求</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6.掌握发放办公用品的程序</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7.了解公务车辆调派的含义、范围、原则与要求</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8.掌握公务车辆的管理和使用</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9.了解公务车辆的日常管理与维护</w:t>
      </w:r>
      <w:r>
        <w:rPr>
          <w:rFonts w:hint="eastAsia" w:ascii="宋体" w:hAnsi="宋体" w:eastAsia="宋体" w:cs="宋体"/>
          <w:color w:val="auto"/>
          <w:sz w:val="24"/>
          <w:szCs w:val="24"/>
          <w:lang w:eastAsia="zh-CN"/>
        </w:rPr>
        <w:t>。</w:t>
      </w:r>
    </w:p>
    <w:p>
      <w:pPr>
        <w:keepNext w:val="0"/>
        <w:keepLines w:val="0"/>
        <w:pageBreakBefore w:val="0"/>
        <w:kinsoku/>
        <w:wordWrap/>
        <w:overflowPunct/>
        <w:topLinePunct w:val="0"/>
        <w:autoSpaceDE/>
        <w:bidi w:val="0"/>
        <w:adjustRightInd/>
        <w:spacing w:line="460" w:lineRule="exact"/>
        <w:ind w:right="0" w:rightChars="0"/>
        <w:jc w:val="center"/>
        <w:textAlignment w:val="auto"/>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模块六   商务活动管理事务</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1.了解会见、会谈的含义、类型</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2.理解会见、会谈的区别</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3.掌握会见、会谈的工作程序</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4.了解信息搜集的途径、内容</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5.了解商务谈判现场布置及谈判过程中应注意的事项</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6.了解签字仪式的准备、现场实施工作的相关知识</w:t>
      </w:r>
      <w:r>
        <w:rPr>
          <w:rFonts w:hint="eastAsia" w:ascii="宋体" w:hAnsi="宋体" w:eastAsia="宋体" w:cs="宋体"/>
          <w:color w:val="auto"/>
          <w:sz w:val="24"/>
          <w:szCs w:val="24"/>
          <w:lang w:eastAsia="zh-CN"/>
        </w:rPr>
        <w:t>。</w:t>
      </w:r>
    </w:p>
    <w:p>
      <w:pPr>
        <w:keepNext w:val="0"/>
        <w:keepLines w:val="0"/>
        <w:pageBreakBefore w:val="0"/>
        <w:kinsoku/>
        <w:wordWrap/>
        <w:overflowPunct/>
        <w:topLinePunct w:val="0"/>
        <w:autoSpaceDE/>
        <w:bidi w:val="0"/>
        <w:adjustRightInd/>
        <w:spacing w:line="480" w:lineRule="exact"/>
        <w:ind w:right="0" w:rightChars="0" w:firstLine="480" w:firstLineChars="200"/>
        <w:textAlignment w:val="auto"/>
        <w:outlineLvl w:val="9"/>
        <w:rPr>
          <w:rFonts w:hint="eastAsia" w:ascii="宋体" w:hAnsi="宋体" w:eastAsia="宋体" w:cs="宋体"/>
          <w:color w:val="auto"/>
          <w:sz w:val="24"/>
          <w:szCs w:val="24"/>
        </w:rPr>
      </w:pPr>
    </w:p>
    <w:p>
      <w:pPr>
        <w:pStyle w:val="3"/>
        <w:keepNext w:val="0"/>
        <w:keepLines w:val="0"/>
        <w:pageBreakBefore w:val="0"/>
        <w:kinsoku/>
        <w:wordWrap/>
        <w:overflowPunct/>
        <w:topLinePunct w:val="0"/>
        <w:autoSpaceDE/>
        <w:bidi w:val="0"/>
        <w:adjustRightInd/>
        <w:snapToGrid w:val="0"/>
        <w:spacing w:line="480" w:lineRule="exact"/>
        <w:ind w:right="0" w:rightChars="0"/>
        <w:jc w:val="center"/>
        <w:textAlignment w:val="auto"/>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Ⅲ</w:t>
      </w:r>
      <w:r>
        <w:rPr>
          <w:rFonts w:hint="eastAsia" w:ascii="宋体" w:hAnsi="宋体" w:eastAsia="宋体" w:cs="宋体"/>
          <w:b/>
          <w:sz w:val="24"/>
          <w:szCs w:val="24"/>
        </w:rPr>
        <w:t>.</w:t>
      </w:r>
      <w:r>
        <w:rPr>
          <w:rFonts w:hint="eastAsia" w:ascii="宋体" w:hAnsi="宋体" w:eastAsia="宋体" w:cs="宋体"/>
          <w:b/>
          <w:color w:val="auto"/>
          <w:sz w:val="24"/>
          <w:szCs w:val="24"/>
        </w:rPr>
        <w:t>考试形式及试卷结构</w:t>
      </w:r>
    </w:p>
    <w:p>
      <w:pPr>
        <w:keepNext w:val="0"/>
        <w:keepLines w:val="0"/>
        <w:pageBreakBefore w:val="0"/>
        <w:kinsoku/>
        <w:wordWrap/>
        <w:overflowPunct/>
        <w:topLinePunct w:val="0"/>
        <w:autoSpaceDE/>
        <w:bidi w:val="0"/>
        <w:adjustRightInd/>
        <w:spacing w:line="480" w:lineRule="exact"/>
        <w:ind w:right="0" w:rightChars="0" w:firstLine="480" w:firstLineChars="200"/>
        <w:textAlignment w:val="auto"/>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一、考试形式</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hAnsi="宋体" w:cs="宋体"/>
          <w:color w:val="auto"/>
          <w:sz w:val="24"/>
          <w:szCs w:val="24"/>
          <w:lang w:val="en-US" w:eastAsia="zh-CN"/>
        </w:rPr>
        <w:t>1.</w:t>
      </w:r>
      <w:r>
        <w:rPr>
          <w:rFonts w:hint="eastAsia" w:ascii="宋体" w:hAnsi="宋体" w:eastAsia="宋体" w:cs="宋体"/>
          <w:color w:val="auto"/>
          <w:sz w:val="24"/>
          <w:szCs w:val="24"/>
        </w:rPr>
        <w:t>考试采用闭卷、笔试形式，考试不使用计算器</w:t>
      </w:r>
      <w:r>
        <w:rPr>
          <w:rFonts w:hint="eastAsia" w:hAnsi="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hAnsi="宋体" w:cs="宋体"/>
          <w:color w:val="auto"/>
          <w:sz w:val="24"/>
          <w:szCs w:val="24"/>
          <w:lang w:val="en-US" w:eastAsia="zh-CN"/>
        </w:rPr>
        <w:t>2.</w:t>
      </w:r>
      <w:r>
        <w:rPr>
          <w:rFonts w:hint="eastAsia" w:ascii="宋体" w:hAnsi="宋体" w:eastAsia="宋体" w:cs="宋体"/>
          <w:color w:val="auto"/>
          <w:sz w:val="24"/>
          <w:szCs w:val="24"/>
        </w:rPr>
        <w:t>卷</w:t>
      </w:r>
      <w:r>
        <w:rPr>
          <w:rFonts w:hint="eastAsia" w:ascii="宋体" w:hAnsi="宋体" w:eastAsia="宋体" w:cs="宋体"/>
          <w:sz w:val="24"/>
          <w:szCs w:val="24"/>
        </w:rPr>
        <w:t>Ⅰ</w:t>
      </w:r>
      <w:r>
        <w:rPr>
          <w:rFonts w:hint="eastAsia" w:ascii="宋体" w:hAnsi="宋体" w:eastAsia="宋体" w:cs="宋体"/>
          <w:color w:val="auto"/>
          <w:sz w:val="24"/>
          <w:szCs w:val="24"/>
        </w:rPr>
        <w:t>满分为150分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考试时间90分钟；</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hAnsi="宋体" w:cs="宋体"/>
          <w:color w:val="auto"/>
          <w:sz w:val="24"/>
          <w:szCs w:val="24"/>
          <w:lang w:val="en-US" w:eastAsia="zh-CN"/>
        </w:rPr>
        <w:t>3.</w:t>
      </w:r>
      <w:r>
        <w:rPr>
          <w:rFonts w:hint="eastAsia" w:ascii="宋体" w:hAnsi="宋体" w:eastAsia="宋体" w:cs="宋体"/>
          <w:color w:val="auto"/>
          <w:sz w:val="24"/>
          <w:szCs w:val="24"/>
        </w:rPr>
        <w:t>卷</w:t>
      </w:r>
      <w:r>
        <w:rPr>
          <w:rFonts w:hint="eastAsia" w:ascii="宋体" w:hAnsi="宋体" w:eastAsia="宋体" w:cs="宋体"/>
          <w:sz w:val="24"/>
          <w:szCs w:val="24"/>
        </w:rPr>
        <w:t>Ⅱ</w:t>
      </w:r>
      <w:r>
        <w:rPr>
          <w:rFonts w:hint="eastAsia" w:ascii="宋体" w:hAnsi="宋体" w:eastAsia="宋体" w:cs="宋体"/>
          <w:color w:val="auto"/>
          <w:sz w:val="24"/>
          <w:szCs w:val="24"/>
        </w:rPr>
        <w:t>满分为100分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考试时间60分钟。</w:t>
      </w:r>
    </w:p>
    <w:p>
      <w:pPr>
        <w:keepNext w:val="0"/>
        <w:keepLines w:val="0"/>
        <w:pageBreakBefore w:val="0"/>
        <w:kinsoku/>
        <w:wordWrap/>
        <w:overflowPunct/>
        <w:topLinePunct w:val="0"/>
        <w:autoSpaceDE/>
        <w:bidi w:val="0"/>
        <w:adjustRightInd/>
        <w:spacing w:line="480" w:lineRule="exact"/>
        <w:ind w:right="0" w:rightChars="0"/>
        <w:textAlignment w:val="auto"/>
        <w:outlineLvl w:val="9"/>
        <w:rPr>
          <w:rFonts w:hint="eastAsia" w:ascii="宋体" w:hAnsi="宋体" w:eastAsia="宋体" w:cs="宋体"/>
          <w:b/>
          <w:color w:val="auto"/>
          <w:sz w:val="24"/>
          <w:szCs w:val="24"/>
        </w:rPr>
      </w:pPr>
      <w:r>
        <w:rPr>
          <w:rFonts w:hint="eastAsia" w:hAnsi="宋体" w:cs="宋体"/>
          <w:b/>
          <w:color w:val="auto"/>
          <w:sz w:val="24"/>
          <w:szCs w:val="24"/>
          <w:lang w:val="en-US" w:eastAsia="zh-CN"/>
        </w:rPr>
        <w:t xml:space="preserve">    </w:t>
      </w:r>
      <w:r>
        <w:rPr>
          <w:rFonts w:hint="eastAsia" w:ascii="宋体" w:hAnsi="宋体" w:eastAsia="宋体" w:cs="宋体"/>
          <w:b/>
          <w:color w:val="auto"/>
          <w:sz w:val="24"/>
          <w:szCs w:val="24"/>
        </w:rPr>
        <w:t>二、内容及分值比例</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3730"/>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keepNext w:val="0"/>
              <w:keepLines w:val="0"/>
              <w:pageBreakBefore w:val="0"/>
              <w:kinsoku/>
              <w:wordWrap/>
              <w:overflowPunct/>
              <w:topLinePunct w:val="0"/>
              <w:autoSpaceDE/>
              <w:bidi w:val="0"/>
              <w:adjustRightInd/>
              <w:spacing w:line="480" w:lineRule="exact"/>
              <w:ind w:right="0" w:rightChars="0"/>
              <w:jc w:val="center"/>
              <w:textAlignment w:val="auto"/>
              <w:outlineLvl w:val="9"/>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序 号</w:t>
            </w:r>
          </w:p>
        </w:tc>
        <w:tc>
          <w:tcPr>
            <w:tcW w:w="3730" w:type="dxa"/>
          </w:tcPr>
          <w:p>
            <w:pPr>
              <w:keepNext w:val="0"/>
              <w:keepLines w:val="0"/>
              <w:pageBreakBefore w:val="0"/>
              <w:kinsoku/>
              <w:wordWrap/>
              <w:overflowPunct/>
              <w:topLinePunct w:val="0"/>
              <w:autoSpaceDE/>
              <w:bidi w:val="0"/>
              <w:adjustRightInd/>
              <w:spacing w:line="480" w:lineRule="exact"/>
              <w:ind w:right="0" w:rightChars="0"/>
              <w:jc w:val="center"/>
              <w:textAlignment w:val="auto"/>
              <w:outlineLvl w:val="9"/>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内  容</w:t>
            </w:r>
          </w:p>
        </w:tc>
        <w:tc>
          <w:tcPr>
            <w:tcW w:w="2841" w:type="dxa"/>
          </w:tcPr>
          <w:p>
            <w:pPr>
              <w:keepNext w:val="0"/>
              <w:keepLines w:val="0"/>
              <w:pageBreakBefore w:val="0"/>
              <w:kinsoku/>
              <w:wordWrap/>
              <w:overflowPunct/>
              <w:topLinePunct w:val="0"/>
              <w:autoSpaceDE/>
              <w:bidi w:val="0"/>
              <w:adjustRightInd/>
              <w:spacing w:line="480" w:lineRule="exact"/>
              <w:ind w:right="0" w:rightChars="0"/>
              <w:jc w:val="center"/>
              <w:textAlignment w:val="auto"/>
              <w:outlineLvl w:val="9"/>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分值比例（约占）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keepNext w:val="0"/>
              <w:keepLines w:val="0"/>
              <w:pageBreakBefore w:val="0"/>
              <w:kinsoku/>
              <w:wordWrap/>
              <w:overflowPunct/>
              <w:topLinePunct w:val="0"/>
              <w:autoSpaceDE/>
              <w:bidi w:val="0"/>
              <w:adjustRightInd/>
              <w:spacing w:line="480" w:lineRule="exact"/>
              <w:ind w:right="0" w:rightChars="0" w:firstLine="480" w:firstLineChars="200"/>
              <w:jc w:val="both"/>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模块一</w:t>
            </w:r>
          </w:p>
        </w:tc>
        <w:tc>
          <w:tcPr>
            <w:tcW w:w="3730" w:type="dxa"/>
          </w:tcPr>
          <w:p>
            <w:pPr>
              <w:keepNext w:val="0"/>
              <w:keepLines w:val="0"/>
              <w:pageBreakBefore w:val="0"/>
              <w:kinsoku/>
              <w:wordWrap/>
              <w:overflowPunct/>
              <w:topLinePunct w:val="0"/>
              <w:autoSpaceDE/>
              <w:bidi w:val="0"/>
              <w:adjustRightInd/>
              <w:spacing w:line="480" w:lineRule="exact"/>
              <w:ind w:right="0" w:rightChars="0" w:firstLine="480" w:firstLineChars="200"/>
              <w:jc w:val="left"/>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办公环境管理事务</w:t>
            </w:r>
          </w:p>
        </w:tc>
        <w:tc>
          <w:tcPr>
            <w:tcW w:w="2841" w:type="dxa"/>
          </w:tcPr>
          <w:p>
            <w:pPr>
              <w:keepNext w:val="0"/>
              <w:keepLines w:val="0"/>
              <w:pageBreakBefore w:val="0"/>
              <w:kinsoku/>
              <w:wordWrap/>
              <w:overflowPunct/>
              <w:topLinePunct w:val="0"/>
              <w:autoSpaceDE/>
              <w:bidi w:val="0"/>
              <w:adjustRightInd/>
              <w:spacing w:line="480" w:lineRule="exact"/>
              <w:ind w:right="0" w:rightChars="0"/>
              <w:jc w:val="center"/>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keepNext w:val="0"/>
              <w:keepLines w:val="0"/>
              <w:pageBreakBefore w:val="0"/>
              <w:kinsoku/>
              <w:wordWrap/>
              <w:overflowPunct/>
              <w:topLinePunct w:val="0"/>
              <w:autoSpaceDE/>
              <w:bidi w:val="0"/>
              <w:adjustRightInd/>
              <w:spacing w:line="480" w:lineRule="exact"/>
              <w:ind w:right="0" w:rightChars="0" w:firstLine="480" w:firstLineChars="200"/>
              <w:jc w:val="both"/>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模块二</w:t>
            </w:r>
          </w:p>
        </w:tc>
        <w:tc>
          <w:tcPr>
            <w:tcW w:w="3730" w:type="dxa"/>
          </w:tcPr>
          <w:p>
            <w:pPr>
              <w:keepNext w:val="0"/>
              <w:keepLines w:val="0"/>
              <w:pageBreakBefore w:val="0"/>
              <w:kinsoku/>
              <w:wordWrap/>
              <w:overflowPunct/>
              <w:topLinePunct w:val="0"/>
              <w:autoSpaceDE/>
              <w:bidi w:val="0"/>
              <w:adjustRightInd/>
              <w:spacing w:line="480" w:lineRule="exact"/>
              <w:ind w:right="0" w:rightChars="0" w:firstLine="480" w:firstLineChars="200"/>
              <w:jc w:val="left"/>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办公室日常事务</w:t>
            </w:r>
          </w:p>
        </w:tc>
        <w:tc>
          <w:tcPr>
            <w:tcW w:w="2841" w:type="dxa"/>
          </w:tcPr>
          <w:p>
            <w:pPr>
              <w:keepNext w:val="0"/>
              <w:keepLines w:val="0"/>
              <w:pageBreakBefore w:val="0"/>
              <w:kinsoku/>
              <w:wordWrap/>
              <w:overflowPunct/>
              <w:topLinePunct w:val="0"/>
              <w:autoSpaceDE/>
              <w:bidi w:val="0"/>
              <w:adjustRightInd/>
              <w:spacing w:line="480" w:lineRule="exact"/>
              <w:ind w:right="0" w:rightChars="0"/>
              <w:jc w:val="center"/>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keepNext w:val="0"/>
              <w:keepLines w:val="0"/>
              <w:pageBreakBefore w:val="0"/>
              <w:kinsoku/>
              <w:wordWrap/>
              <w:overflowPunct/>
              <w:topLinePunct w:val="0"/>
              <w:autoSpaceDE/>
              <w:bidi w:val="0"/>
              <w:adjustRightInd/>
              <w:spacing w:line="480" w:lineRule="exact"/>
              <w:ind w:right="0" w:rightChars="0" w:firstLine="480" w:firstLineChars="200"/>
              <w:jc w:val="both"/>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模块三</w:t>
            </w:r>
          </w:p>
        </w:tc>
        <w:tc>
          <w:tcPr>
            <w:tcW w:w="3730" w:type="dxa"/>
          </w:tcPr>
          <w:p>
            <w:pPr>
              <w:keepNext w:val="0"/>
              <w:keepLines w:val="0"/>
              <w:pageBreakBefore w:val="0"/>
              <w:kinsoku/>
              <w:wordWrap/>
              <w:overflowPunct/>
              <w:topLinePunct w:val="0"/>
              <w:autoSpaceDE/>
              <w:bidi w:val="0"/>
              <w:adjustRightInd/>
              <w:spacing w:line="480" w:lineRule="exact"/>
              <w:ind w:right="0" w:rightChars="0" w:firstLine="480" w:firstLineChars="200"/>
              <w:jc w:val="left"/>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接待管理事务</w:t>
            </w:r>
          </w:p>
        </w:tc>
        <w:tc>
          <w:tcPr>
            <w:tcW w:w="2841" w:type="dxa"/>
          </w:tcPr>
          <w:p>
            <w:pPr>
              <w:keepNext w:val="0"/>
              <w:keepLines w:val="0"/>
              <w:pageBreakBefore w:val="0"/>
              <w:kinsoku/>
              <w:wordWrap/>
              <w:overflowPunct/>
              <w:topLinePunct w:val="0"/>
              <w:autoSpaceDE/>
              <w:bidi w:val="0"/>
              <w:adjustRightInd/>
              <w:spacing w:line="480" w:lineRule="exact"/>
              <w:ind w:right="0" w:rightChars="0"/>
              <w:jc w:val="center"/>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keepNext w:val="0"/>
              <w:keepLines w:val="0"/>
              <w:pageBreakBefore w:val="0"/>
              <w:kinsoku/>
              <w:wordWrap/>
              <w:overflowPunct/>
              <w:topLinePunct w:val="0"/>
              <w:autoSpaceDE/>
              <w:bidi w:val="0"/>
              <w:adjustRightInd/>
              <w:spacing w:line="480" w:lineRule="exact"/>
              <w:ind w:right="0" w:rightChars="0" w:firstLine="480" w:firstLineChars="200"/>
              <w:jc w:val="both"/>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模块四</w:t>
            </w:r>
          </w:p>
        </w:tc>
        <w:tc>
          <w:tcPr>
            <w:tcW w:w="3730" w:type="dxa"/>
          </w:tcPr>
          <w:p>
            <w:pPr>
              <w:keepNext w:val="0"/>
              <w:keepLines w:val="0"/>
              <w:pageBreakBefore w:val="0"/>
              <w:kinsoku/>
              <w:wordWrap/>
              <w:overflowPunct/>
              <w:topLinePunct w:val="0"/>
              <w:autoSpaceDE/>
              <w:bidi w:val="0"/>
              <w:adjustRightInd/>
              <w:spacing w:line="480" w:lineRule="exact"/>
              <w:ind w:right="0" w:rightChars="0" w:firstLine="480" w:firstLineChars="200"/>
              <w:jc w:val="left"/>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领导活动管理事务</w:t>
            </w:r>
          </w:p>
        </w:tc>
        <w:tc>
          <w:tcPr>
            <w:tcW w:w="2841" w:type="dxa"/>
          </w:tcPr>
          <w:p>
            <w:pPr>
              <w:keepNext w:val="0"/>
              <w:keepLines w:val="0"/>
              <w:pageBreakBefore w:val="0"/>
              <w:kinsoku/>
              <w:wordWrap/>
              <w:overflowPunct/>
              <w:topLinePunct w:val="0"/>
              <w:autoSpaceDE/>
              <w:bidi w:val="0"/>
              <w:adjustRightInd/>
              <w:spacing w:line="480" w:lineRule="exact"/>
              <w:ind w:right="0" w:rightChars="0"/>
              <w:jc w:val="center"/>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keepNext w:val="0"/>
              <w:keepLines w:val="0"/>
              <w:pageBreakBefore w:val="0"/>
              <w:kinsoku/>
              <w:wordWrap/>
              <w:overflowPunct/>
              <w:topLinePunct w:val="0"/>
              <w:autoSpaceDE/>
              <w:bidi w:val="0"/>
              <w:adjustRightInd/>
              <w:spacing w:line="480" w:lineRule="exact"/>
              <w:ind w:right="0" w:rightChars="0" w:firstLine="480" w:firstLineChars="200"/>
              <w:jc w:val="both"/>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模块五</w:t>
            </w:r>
          </w:p>
        </w:tc>
        <w:tc>
          <w:tcPr>
            <w:tcW w:w="3730" w:type="dxa"/>
          </w:tcPr>
          <w:p>
            <w:pPr>
              <w:keepNext w:val="0"/>
              <w:keepLines w:val="0"/>
              <w:pageBreakBefore w:val="0"/>
              <w:kinsoku/>
              <w:wordWrap/>
              <w:overflowPunct/>
              <w:topLinePunct w:val="0"/>
              <w:autoSpaceDE/>
              <w:bidi w:val="0"/>
              <w:adjustRightInd/>
              <w:spacing w:line="480" w:lineRule="exact"/>
              <w:ind w:right="0" w:rightChars="0" w:firstLine="480" w:firstLineChars="200"/>
              <w:jc w:val="left"/>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办公资产管理事务</w:t>
            </w:r>
          </w:p>
        </w:tc>
        <w:tc>
          <w:tcPr>
            <w:tcW w:w="2841" w:type="dxa"/>
          </w:tcPr>
          <w:p>
            <w:pPr>
              <w:keepNext w:val="0"/>
              <w:keepLines w:val="0"/>
              <w:pageBreakBefore w:val="0"/>
              <w:kinsoku/>
              <w:wordWrap/>
              <w:overflowPunct/>
              <w:topLinePunct w:val="0"/>
              <w:autoSpaceDE/>
              <w:bidi w:val="0"/>
              <w:adjustRightInd/>
              <w:spacing w:line="480" w:lineRule="exact"/>
              <w:ind w:right="0" w:rightChars="0"/>
              <w:jc w:val="center"/>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keepNext w:val="0"/>
              <w:keepLines w:val="0"/>
              <w:pageBreakBefore w:val="0"/>
              <w:kinsoku/>
              <w:wordWrap/>
              <w:overflowPunct/>
              <w:topLinePunct w:val="0"/>
              <w:autoSpaceDE/>
              <w:bidi w:val="0"/>
              <w:adjustRightInd/>
              <w:spacing w:line="480" w:lineRule="exact"/>
              <w:ind w:right="0" w:rightChars="0" w:firstLine="480" w:firstLineChars="200"/>
              <w:jc w:val="both"/>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模块六</w:t>
            </w:r>
          </w:p>
        </w:tc>
        <w:tc>
          <w:tcPr>
            <w:tcW w:w="3730" w:type="dxa"/>
          </w:tcPr>
          <w:p>
            <w:pPr>
              <w:keepNext w:val="0"/>
              <w:keepLines w:val="0"/>
              <w:pageBreakBefore w:val="0"/>
              <w:kinsoku/>
              <w:wordWrap/>
              <w:overflowPunct/>
              <w:topLinePunct w:val="0"/>
              <w:autoSpaceDE/>
              <w:bidi w:val="0"/>
              <w:adjustRightInd/>
              <w:spacing w:line="480" w:lineRule="exact"/>
              <w:ind w:right="0" w:rightChars="0" w:firstLine="480" w:firstLineChars="200"/>
              <w:jc w:val="left"/>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商务活动管理事务</w:t>
            </w:r>
          </w:p>
        </w:tc>
        <w:tc>
          <w:tcPr>
            <w:tcW w:w="2841" w:type="dxa"/>
          </w:tcPr>
          <w:p>
            <w:pPr>
              <w:keepNext w:val="0"/>
              <w:keepLines w:val="0"/>
              <w:pageBreakBefore w:val="0"/>
              <w:kinsoku/>
              <w:wordWrap/>
              <w:overflowPunct/>
              <w:topLinePunct w:val="0"/>
              <w:autoSpaceDE/>
              <w:bidi w:val="0"/>
              <w:adjustRightInd/>
              <w:spacing w:line="480" w:lineRule="exact"/>
              <w:ind w:right="0" w:rightChars="0"/>
              <w:jc w:val="center"/>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51" w:type="dxa"/>
          </w:tcPr>
          <w:p>
            <w:pPr>
              <w:keepNext w:val="0"/>
              <w:keepLines w:val="0"/>
              <w:pageBreakBefore w:val="0"/>
              <w:kinsoku/>
              <w:wordWrap/>
              <w:overflowPunct/>
              <w:topLinePunct w:val="0"/>
              <w:autoSpaceDE/>
              <w:bidi w:val="0"/>
              <w:adjustRightInd/>
              <w:spacing w:line="480" w:lineRule="exact"/>
              <w:ind w:right="0" w:rightChars="0" w:firstLine="480" w:firstLineChars="200"/>
              <w:jc w:val="center"/>
              <w:textAlignment w:val="auto"/>
              <w:outlineLvl w:val="9"/>
              <w:rPr>
                <w:rFonts w:hint="eastAsia" w:ascii="宋体" w:hAnsi="宋体" w:eastAsia="宋体" w:cs="宋体"/>
                <w:color w:val="auto"/>
                <w:kern w:val="0"/>
                <w:sz w:val="24"/>
                <w:szCs w:val="24"/>
              </w:rPr>
            </w:pPr>
          </w:p>
        </w:tc>
        <w:tc>
          <w:tcPr>
            <w:tcW w:w="3730" w:type="dxa"/>
          </w:tcPr>
          <w:p>
            <w:pPr>
              <w:keepNext w:val="0"/>
              <w:keepLines w:val="0"/>
              <w:pageBreakBefore w:val="0"/>
              <w:kinsoku/>
              <w:wordWrap/>
              <w:overflowPunct/>
              <w:topLinePunct w:val="0"/>
              <w:autoSpaceDE/>
              <w:bidi w:val="0"/>
              <w:adjustRightInd/>
              <w:spacing w:line="480" w:lineRule="exact"/>
              <w:ind w:right="0" w:rightChars="0"/>
              <w:jc w:val="center"/>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合 计</w:t>
            </w:r>
          </w:p>
        </w:tc>
        <w:tc>
          <w:tcPr>
            <w:tcW w:w="2841" w:type="dxa"/>
          </w:tcPr>
          <w:p>
            <w:pPr>
              <w:keepNext w:val="0"/>
              <w:keepLines w:val="0"/>
              <w:pageBreakBefore w:val="0"/>
              <w:kinsoku/>
              <w:wordWrap/>
              <w:overflowPunct/>
              <w:topLinePunct w:val="0"/>
              <w:autoSpaceDE/>
              <w:bidi w:val="0"/>
              <w:adjustRightInd/>
              <w:spacing w:line="480" w:lineRule="exact"/>
              <w:ind w:right="0" w:rightChars="0"/>
              <w:jc w:val="center"/>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100%</w:t>
            </w:r>
          </w:p>
        </w:tc>
      </w:tr>
    </w:tbl>
    <w:p>
      <w:pPr>
        <w:pStyle w:val="3"/>
        <w:keepNext w:val="0"/>
        <w:keepLines w:val="0"/>
        <w:pageBreakBefore w:val="0"/>
        <w:kinsoku/>
        <w:wordWrap/>
        <w:overflowPunct/>
        <w:topLinePunct w:val="0"/>
        <w:autoSpaceDE/>
        <w:bidi w:val="0"/>
        <w:adjustRightInd/>
        <w:snapToGrid w:val="0"/>
        <w:spacing w:line="480" w:lineRule="exact"/>
        <w:ind w:right="0" w:rightChars="0" w:firstLine="480" w:firstLineChars="200"/>
        <w:textAlignment w:val="auto"/>
        <w:outlineLvl w:val="9"/>
        <w:rPr>
          <w:rFonts w:hint="eastAsia" w:ascii="宋体" w:hAnsi="宋体" w:eastAsia="宋体" w:cs="宋体"/>
          <w:b/>
          <w:color w:val="auto"/>
          <w:sz w:val="24"/>
          <w:szCs w:val="24"/>
        </w:rPr>
      </w:pPr>
      <w:r>
        <w:rPr>
          <w:rFonts w:hint="eastAsia" w:ascii="宋体" w:hAnsi="宋体" w:eastAsia="宋体" w:cs="宋体"/>
          <w:b/>
          <w:color w:val="auto"/>
          <w:sz w:val="24"/>
          <w:szCs w:val="24"/>
        </w:rPr>
        <w:t>三、试卷结构</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1、卷</w:t>
      </w:r>
      <w:r>
        <w:rPr>
          <w:rFonts w:hint="eastAsia" w:ascii="宋体" w:hAnsi="宋体" w:eastAsia="宋体" w:cs="宋体"/>
          <w:sz w:val="24"/>
          <w:szCs w:val="24"/>
        </w:rPr>
        <w:t>Ⅰ</w:t>
      </w:r>
      <w:r>
        <w:rPr>
          <w:rFonts w:hint="eastAsia" w:ascii="宋体" w:hAnsi="宋体" w:eastAsia="宋体" w:cs="宋体"/>
          <w:color w:val="auto"/>
          <w:sz w:val="24"/>
          <w:szCs w:val="24"/>
        </w:rPr>
        <w:t>试卷结构：单项选择题、多项选择题、判断选择题</w:t>
      </w:r>
      <w:r>
        <w:rPr>
          <w:rFonts w:hint="eastAsia" w:hAnsi="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2、卷</w:t>
      </w:r>
      <w:r>
        <w:rPr>
          <w:rFonts w:hint="eastAsia" w:ascii="宋体" w:hAnsi="宋体" w:eastAsia="宋体" w:cs="宋体"/>
          <w:sz w:val="24"/>
          <w:szCs w:val="24"/>
        </w:rPr>
        <w:t>Ⅱ</w:t>
      </w:r>
      <w:r>
        <w:rPr>
          <w:rFonts w:hint="eastAsia" w:ascii="宋体" w:hAnsi="宋体" w:eastAsia="宋体" w:cs="宋体"/>
          <w:color w:val="auto"/>
          <w:sz w:val="24"/>
          <w:szCs w:val="24"/>
        </w:rPr>
        <w:t>试卷结构：多项选择题、工作实务题、案例分析题</w:t>
      </w:r>
      <w:r>
        <w:rPr>
          <w:rFonts w:hint="eastAsia" w:hAnsi="宋体" w:cs="宋体"/>
          <w:color w:val="auto"/>
          <w:sz w:val="24"/>
          <w:szCs w:val="24"/>
          <w:lang w:eastAsia="zh-CN"/>
        </w:rPr>
        <w:t>。</w:t>
      </w:r>
    </w:p>
    <w:p>
      <w:pPr>
        <w:keepNext w:val="0"/>
        <w:keepLines w:val="0"/>
        <w:pageBreakBefore w:val="0"/>
        <w:widowControl w:val="0"/>
        <w:kinsoku/>
        <w:wordWrap/>
        <w:overflowPunct/>
        <w:topLinePunct w:val="0"/>
        <w:autoSpaceDE/>
        <w:autoSpaceDN w:val="0"/>
        <w:bidi w:val="0"/>
        <w:adjustRightInd/>
        <w:snapToGrid w:val="0"/>
        <w:spacing w:line="480" w:lineRule="exact"/>
        <w:ind w:right="0" w:rightChars="0" w:firstLine="480" w:firstLineChars="200"/>
        <w:jc w:val="left"/>
        <w:textAlignment w:val="auto"/>
        <w:outlineLvl w:val="9"/>
        <w:rPr>
          <w:rFonts w:hint="eastAsia" w:ascii="宋体" w:hAnsi="宋体" w:eastAsia="宋体" w:cs="宋体"/>
          <w:color w:val="auto"/>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SimSun-ExtB"/>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script"/>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SimSun-ExtB">
    <w:panose1 w:val="02010609060101010101"/>
    <w:charset w:val="86"/>
    <w:family w:val="auto"/>
    <w:pitch w:val="default"/>
    <w:sig w:usb0="00000001" w:usb1="02000000" w:usb2="00000000" w:usb3="00000000" w:csb0="0004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华光中圆_CNKI">
    <w:panose1 w:val="02000500000000000000"/>
    <w:charset w:val="86"/>
    <w:family w:val="auto"/>
    <w:pitch w:val="default"/>
    <w:sig w:usb0="A00002BF" w:usb1="18CF7CFA" w:usb2="00000016" w:usb3="00000000" w:csb0="0004000F" w:csb1="00000000"/>
  </w:font>
  <w:font w:name="华光中楷_CNKI">
    <w:panose1 w:val="02000500000000000000"/>
    <w:charset w:val="86"/>
    <w:family w:val="auto"/>
    <w:pitch w:val="default"/>
    <w:sig w:usb0="A00002BF" w:usb1="38CF7CFA" w:usb2="00000016" w:usb3="00000000" w:csb0="0004000F" w:csb1="00000000"/>
  </w:font>
  <w:font w:name="华光中等线_CNKI">
    <w:panose1 w:val="02000500000000000000"/>
    <w:charset w:val="86"/>
    <w:family w:val="auto"/>
    <w:pitch w:val="default"/>
    <w:sig w:usb0="A00002BF" w:usb1="38CF7CFA" w:usb2="00000016" w:usb3="00000000" w:csb0="0004000F" w:csb1="00000000"/>
  </w:font>
  <w:font w:name="华光中长宋_CNKI">
    <w:panose1 w:val="02000500000000000000"/>
    <w:charset w:val="86"/>
    <w:family w:val="auto"/>
    <w:pitch w:val="default"/>
    <w:sig w:usb0="A00002BF" w:usb1="38CF7CFA" w:usb2="00000016" w:usb3="00000000" w:csb0="0004000F" w:csb1="00000000"/>
  </w:font>
  <w:font w:name="华光幼线_CNKI">
    <w:panose1 w:val="02000500000000000000"/>
    <w:charset w:val="86"/>
    <w:family w:val="auto"/>
    <w:pitch w:val="default"/>
    <w:sig w:usb0="A00002BF" w:usb1="38CF7CFA" w:usb2="00000016" w:usb3="00000000" w:csb0="0004000F" w:csb1="00000000"/>
  </w:font>
  <w:font w:name="华光平黑_CNKI">
    <w:panose1 w:val="02000500000000000000"/>
    <w:charset w:val="86"/>
    <w:family w:val="auto"/>
    <w:pitch w:val="default"/>
    <w:sig w:usb0="A00002BF" w:usb1="38CF7CFA" w:usb2="00000016" w:usb3="00000000" w:csb0="0004000F" w:csb1="00000000"/>
  </w:font>
  <w:font w:name="华光小标宋_CNKI">
    <w:panose1 w:val="02000500000000000000"/>
    <w:charset w:val="86"/>
    <w:family w:val="auto"/>
    <w:pitch w:val="default"/>
    <w:sig w:usb0="A00002BF" w:usb1="38CF7CFA" w:usb2="00000016" w:usb3="00000000" w:csb0="0004000F" w:csb1="00000000"/>
  </w:font>
  <w:font w:name="华光姚体_CNKI">
    <w:panose1 w:val="02000500000000000000"/>
    <w:charset w:val="86"/>
    <w:family w:val="auto"/>
    <w:pitch w:val="default"/>
    <w:sig w:usb0="A00002BF" w:usb1="38CF7CFA" w:usb2="00000016" w:usb3="00000000" w:csb0="0004000F" w:csb1="00000000"/>
  </w:font>
  <w:font w:name="华光大黑二_CNKI">
    <w:panose1 w:val="02000500000000000000"/>
    <w:charset w:val="86"/>
    <w:family w:val="auto"/>
    <w:pitch w:val="default"/>
    <w:sig w:usb0="800002BF" w:usb1="38CF7CFA" w:usb2="00000016" w:usb3="00000000" w:csb0="0004000F" w:csb1="00000000"/>
  </w:font>
  <w:font w:name="华光广告_CNKI">
    <w:panose1 w:val="02000500000000000000"/>
    <w:charset w:val="86"/>
    <w:family w:val="auto"/>
    <w:pitch w:val="default"/>
    <w:sig w:usb0="A00002BF" w:usb1="38CF7CFA" w:usb2="00000036" w:usb3="00000000" w:csb0="0004000F" w:csb1="00000000"/>
  </w:font>
  <w:font w:name="华光彩云_CNKI">
    <w:panose1 w:val="02000500000000000000"/>
    <w:charset w:val="86"/>
    <w:family w:val="auto"/>
    <w:pitch w:val="default"/>
    <w:sig w:usb0="A00002BF" w:usb1="38CF7CFA" w:usb2="00000016" w:usb3="00000000" w:csb0="0004000F" w:csb1="00000000"/>
  </w:font>
  <w:font w:name="华光报宋一_CNKI">
    <w:panose1 w:val="02000500000000000000"/>
    <w:charset w:val="86"/>
    <w:family w:val="auto"/>
    <w:pitch w:val="default"/>
    <w:sig w:usb0="A00002BF" w:usb1="38CF7CFA" w:usb2="00000016" w:usb3="00000000" w:csb0="0004000F" w:csb1="00000000"/>
  </w:font>
  <w:font w:name="华光报宋二_CNKI">
    <w:panose1 w:val="02000500000000000000"/>
    <w:charset w:val="86"/>
    <w:family w:val="auto"/>
    <w:pitch w:val="default"/>
    <w:sig w:usb0="A00002BF" w:usb1="38CF7CFA" w:usb2="00000016" w:usb3="00000000" w:csb0="0004000F" w:csb1="00000000"/>
  </w:font>
  <w:font w:name="华光敦韵宋_CNKI">
    <w:panose1 w:val="02000500000000000000"/>
    <w:charset w:val="86"/>
    <w:family w:val="auto"/>
    <w:pitch w:val="default"/>
    <w:sig w:usb0="A00002BF" w:usb1="38CF7CFA" w:usb2="00000016" w:usb3="00000000" w:csb0="0004000F" w:csb1="00000000"/>
  </w:font>
  <w:font w:name="华光文韵宋_CNKI">
    <w:panose1 w:val="02000500000000000000"/>
    <w:charset w:val="86"/>
    <w:family w:val="auto"/>
    <w:pitch w:val="default"/>
    <w:sig w:usb0="A00002BF" w:usb1="38CF7CFA" w:usb2="00000016" w:usb3="00000000" w:csb0="0004000F" w:csb1="00000000"/>
  </w:font>
  <w:font w:name="华光方珊瑚_CNKI">
    <w:panose1 w:val="02000500000000000000"/>
    <w:charset w:val="86"/>
    <w:family w:val="auto"/>
    <w:pitch w:val="default"/>
    <w:sig w:usb0="A00002BF" w:usb1="38CF7CFA" w:usb2="00000016" w:usb3="00000000" w:csb0="0004000F" w:csb1="00000000"/>
  </w:font>
  <w:font w:name="华光标题宋_CNKI">
    <w:panose1 w:val="02000500000000000000"/>
    <w:charset w:val="86"/>
    <w:family w:val="auto"/>
    <w:pitch w:val="default"/>
    <w:sig w:usb0="A00002BF" w:usb1="18CF7CFA" w:usb2="00000016" w:usb3="00000000" w:csb0="0004000F" w:csb1="00000000"/>
  </w:font>
  <w:font w:name="华光楷体_CNKI">
    <w:panose1 w:val="02000500000000000000"/>
    <w:charset w:val="86"/>
    <w:family w:val="auto"/>
    <w:pitch w:val="default"/>
    <w:sig w:usb0="A00002BF" w:usb1="38CF7CFA" w:usb2="00000016" w:usb3="00000000" w:csb0="0004000F" w:csb1="00000000"/>
  </w:font>
  <w:font w:name="华光楷体一_CNKI">
    <w:panose1 w:val="02000500000000000000"/>
    <w:charset w:val="86"/>
    <w:family w:val="auto"/>
    <w:pitch w:val="default"/>
    <w:sig w:usb0="800002BF" w:usb1="38CF7CFA" w:usb2="00000016" w:usb3="00000000" w:csb0="0004000F" w:csb1="00000000"/>
  </w:font>
  <w:font w:name="华光楷体二_CNKI">
    <w:panose1 w:val="02000500000000000000"/>
    <w:charset w:val="86"/>
    <w:family w:val="auto"/>
    <w:pitch w:val="default"/>
    <w:sig w:usb0="800002BF" w:usb1="38CF7CFA" w:usb2="00000016" w:usb3="00000000" w:csb0="0004000F" w:csb1="00000000"/>
  </w:font>
  <w:font w:name="华光淡古印_CNKI">
    <w:panose1 w:val="02000500000000000000"/>
    <w:charset w:val="86"/>
    <w:family w:val="auto"/>
    <w:pitch w:val="default"/>
    <w:sig w:usb0="A00002BF" w:usb1="38CF7CFA" w:usb2="00000016" w:usb3="00000000" w:csb0="0004000F" w:csb1="00000000"/>
  </w:font>
  <w:font w:name="华光琥珀_CNKI">
    <w:panose1 w:val="02000500000000000000"/>
    <w:charset w:val="86"/>
    <w:family w:val="auto"/>
    <w:pitch w:val="default"/>
    <w:sig w:usb0="A00002BF" w:usb1="38CF7CFA" w:usb2="00000016" w:usb3="00000000" w:csb0="0004000F" w:csb1="00000000"/>
  </w:font>
  <w:font w:name="华光秀丽_CNKI">
    <w:panose1 w:val="02000500000000000000"/>
    <w:charset w:val="86"/>
    <w:family w:val="auto"/>
    <w:pitch w:val="default"/>
    <w:sig w:usb0="A00002BF" w:usb1="38CF7CFA" w:usb2="00000016" w:usb3="00000000" w:csb0="0004000F" w:csb1="00000000"/>
  </w:font>
  <w:font w:name="华光细黑_CNKI">
    <w:panose1 w:val="02000500000000000000"/>
    <w:charset w:val="86"/>
    <w:family w:val="auto"/>
    <w:pitch w:val="default"/>
    <w:sig w:usb0="A00002BF" w:usb1="38CF7CFA" w:usb2="00000016" w:usb3="00000000" w:csb0="0004000F" w:csb1="00000000"/>
  </w:font>
  <w:font w:name="华光细黑一_CNKI">
    <w:panose1 w:val="02000500000000000000"/>
    <w:charset w:val="86"/>
    <w:family w:val="auto"/>
    <w:pitch w:val="default"/>
    <w:sig w:usb0="A00002BF" w:usb1="38CF7CFA" w:usb2="00000016" w:usb3="00000000" w:csb0="0004000F" w:csb1="00000000"/>
  </w:font>
  <w:font w:name="华光行草_CNKI">
    <w:panose1 w:val="02000500000000000000"/>
    <w:charset w:val="86"/>
    <w:family w:val="auto"/>
    <w:pitch w:val="default"/>
    <w:sig w:usb0="A00002BF" w:usb1="38CF7CFA" w:usb2="00000016" w:usb3="00000000" w:csb0="0004000F" w:csb1="00000000"/>
  </w:font>
  <w:font w:name="华光行楷_CNKI">
    <w:panose1 w:val="02000500000000000000"/>
    <w:charset w:val="86"/>
    <w:family w:val="auto"/>
    <w:pitch w:val="default"/>
    <w:sig w:usb0="A00002BF" w:usb1="18CF7CFA" w:usb2="00000016" w:usb3="00000000" w:csb0="0004000F" w:csb1="00000000"/>
  </w:font>
  <w:font w:name="华光魏体_CNKI">
    <w:panose1 w:val="02000500000000000000"/>
    <w:charset w:val="86"/>
    <w:family w:val="auto"/>
    <w:pitch w:val="default"/>
    <w:sig w:usb0="A00002BF" w:usb1="18CF7CFA" w:usb2="00000016" w:usb3="00000000" w:csb0="0004000F" w:csb1="00000000"/>
  </w:font>
  <w:font w:name="华光隶变_CNKI">
    <w:panose1 w:val="02000500000000000000"/>
    <w:charset w:val="86"/>
    <w:family w:val="auto"/>
    <w:pitch w:val="default"/>
    <w:sig w:usb0="800002BF" w:usb1="38CF7CFA" w:usb2="00000016" w:usb3="00000000" w:csb0="0004000F" w:csb1="00000000"/>
  </w:font>
  <w:font w:name="华光黑体_CNKI">
    <w:panose1 w:val="02000500000000000000"/>
    <w:charset w:val="86"/>
    <w:family w:val="auto"/>
    <w:pitch w:val="default"/>
    <w:sig w:usb0="A00002BF" w:usb1="38CF7CFA" w:usb2="00000016" w:usb3="00000000" w:csb0="0004000F" w:csb1="00000000"/>
  </w:font>
  <w:font w:name="华文宋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47858"/>
    </w:sdtPr>
    <w:sdtContent>
      <w:p>
        <w:pPr>
          <w:pStyle w:val="4"/>
          <w:jc w:val="center"/>
        </w:pPr>
        <w:r>
          <w:fldChar w:fldCharType="begin"/>
        </w:r>
        <w:r>
          <w:instrText xml:space="preserve"> PAGE   \* MERGEFORMAT </w:instrText>
        </w:r>
        <w:r>
          <w:fldChar w:fldCharType="separate"/>
        </w:r>
        <w:r>
          <w:rPr>
            <w:lang w:val="zh-CN"/>
          </w:rPr>
          <w:t>4</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7A96"/>
    <w:rsid w:val="000009E8"/>
    <w:rsid w:val="00006911"/>
    <w:rsid w:val="000669C6"/>
    <w:rsid w:val="00085F15"/>
    <w:rsid w:val="00095FF7"/>
    <w:rsid w:val="000C2B63"/>
    <w:rsid w:val="000D551A"/>
    <w:rsid w:val="000E6F87"/>
    <w:rsid w:val="00107817"/>
    <w:rsid w:val="00113BFF"/>
    <w:rsid w:val="00135D1B"/>
    <w:rsid w:val="001363A2"/>
    <w:rsid w:val="00190521"/>
    <w:rsid w:val="00196B93"/>
    <w:rsid w:val="002019D0"/>
    <w:rsid w:val="002019F3"/>
    <w:rsid w:val="00212D7E"/>
    <w:rsid w:val="00222A2D"/>
    <w:rsid w:val="00225A6E"/>
    <w:rsid w:val="00235B44"/>
    <w:rsid w:val="00283010"/>
    <w:rsid w:val="0029366B"/>
    <w:rsid w:val="002B7242"/>
    <w:rsid w:val="002C0558"/>
    <w:rsid w:val="002E6D7E"/>
    <w:rsid w:val="00310520"/>
    <w:rsid w:val="00327A96"/>
    <w:rsid w:val="00352F46"/>
    <w:rsid w:val="00362F70"/>
    <w:rsid w:val="00373CB0"/>
    <w:rsid w:val="003A499C"/>
    <w:rsid w:val="003C546C"/>
    <w:rsid w:val="003C5BB2"/>
    <w:rsid w:val="003E05B5"/>
    <w:rsid w:val="003F0D34"/>
    <w:rsid w:val="00416520"/>
    <w:rsid w:val="004169C4"/>
    <w:rsid w:val="00416BD3"/>
    <w:rsid w:val="00473BBB"/>
    <w:rsid w:val="00475145"/>
    <w:rsid w:val="00483DF2"/>
    <w:rsid w:val="0049152B"/>
    <w:rsid w:val="00492B15"/>
    <w:rsid w:val="004B43D4"/>
    <w:rsid w:val="004D4995"/>
    <w:rsid w:val="004D7107"/>
    <w:rsid w:val="004F3816"/>
    <w:rsid w:val="004F3F2D"/>
    <w:rsid w:val="00512435"/>
    <w:rsid w:val="00512F04"/>
    <w:rsid w:val="00534FB2"/>
    <w:rsid w:val="00551BA9"/>
    <w:rsid w:val="00567BB5"/>
    <w:rsid w:val="005B3275"/>
    <w:rsid w:val="005B5083"/>
    <w:rsid w:val="005B5BEF"/>
    <w:rsid w:val="00611950"/>
    <w:rsid w:val="00617AC4"/>
    <w:rsid w:val="00620A22"/>
    <w:rsid w:val="0066553C"/>
    <w:rsid w:val="006A6ED2"/>
    <w:rsid w:val="006C0A37"/>
    <w:rsid w:val="006C7130"/>
    <w:rsid w:val="006D7B16"/>
    <w:rsid w:val="006E02C1"/>
    <w:rsid w:val="006E0FB7"/>
    <w:rsid w:val="006F0E81"/>
    <w:rsid w:val="00702E5C"/>
    <w:rsid w:val="00732141"/>
    <w:rsid w:val="007506FA"/>
    <w:rsid w:val="007663B0"/>
    <w:rsid w:val="00766F3F"/>
    <w:rsid w:val="00772664"/>
    <w:rsid w:val="00791728"/>
    <w:rsid w:val="007C228D"/>
    <w:rsid w:val="007E2473"/>
    <w:rsid w:val="00800B77"/>
    <w:rsid w:val="008245AB"/>
    <w:rsid w:val="00837B74"/>
    <w:rsid w:val="008C4CD9"/>
    <w:rsid w:val="008C52D0"/>
    <w:rsid w:val="008D3F6D"/>
    <w:rsid w:val="008E231F"/>
    <w:rsid w:val="009019CF"/>
    <w:rsid w:val="00925CE5"/>
    <w:rsid w:val="00945A91"/>
    <w:rsid w:val="009676BD"/>
    <w:rsid w:val="00977063"/>
    <w:rsid w:val="0099467C"/>
    <w:rsid w:val="00997771"/>
    <w:rsid w:val="009D0987"/>
    <w:rsid w:val="009D6054"/>
    <w:rsid w:val="009F14BC"/>
    <w:rsid w:val="009F7D5C"/>
    <w:rsid w:val="00A06EDD"/>
    <w:rsid w:val="00A1037F"/>
    <w:rsid w:val="00A20022"/>
    <w:rsid w:val="00A33312"/>
    <w:rsid w:val="00A34212"/>
    <w:rsid w:val="00A44D65"/>
    <w:rsid w:val="00A739FF"/>
    <w:rsid w:val="00A751D7"/>
    <w:rsid w:val="00A81ABF"/>
    <w:rsid w:val="00A97695"/>
    <w:rsid w:val="00AA698C"/>
    <w:rsid w:val="00AE46FD"/>
    <w:rsid w:val="00AF11F2"/>
    <w:rsid w:val="00B12A02"/>
    <w:rsid w:val="00B6707F"/>
    <w:rsid w:val="00B73FC9"/>
    <w:rsid w:val="00B95930"/>
    <w:rsid w:val="00BA7143"/>
    <w:rsid w:val="00BB6262"/>
    <w:rsid w:val="00BC3F1D"/>
    <w:rsid w:val="00BD15D4"/>
    <w:rsid w:val="00C14832"/>
    <w:rsid w:val="00C167AD"/>
    <w:rsid w:val="00C16E89"/>
    <w:rsid w:val="00C1713E"/>
    <w:rsid w:val="00C342C1"/>
    <w:rsid w:val="00C54867"/>
    <w:rsid w:val="00C84071"/>
    <w:rsid w:val="00C8740D"/>
    <w:rsid w:val="00C87621"/>
    <w:rsid w:val="00CB72E0"/>
    <w:rsid w:val="00CD20BD"/>
    <w:rsid w:val="00CF1BCB"/>
    <w:rsid w:val="00D03D58"/>
    <w:rsid w:val="00D1137D"/>
    <w:rsid w:val="00D1392E"/>
    <w:rsid w:val="00D31F87"/>
    <w:rsid w:val="00D409C0"/>
    <w:rsid w:val="00D73B51"/>
    <w:rsid w:val="00D73E29"/>
    <w:rsid w:val="00D94A27"/>
    <w:rsid w:val="00DC59A0"/>
    <w:rsid w:val="00E01FB3"/>
    <w:rsid w:val="00E165E5"/>
    <w:rsid w:val="00E23C05"/>
    <w:rsid w:val="00E267EB"/>
    <w:rsid w:val="00E40109"/>
    <w:rsid w:val="00E50C9C"/>
    <w:rsid w:val="00E563A0"/>
    <w:rsid w:val="00E6216F"/>
    <w:rsid w:val="00E8173E"/>
    <w:rsid w:val="00E92CE7"/>
    <w:rsid w:val="00EA0ACD"/>
    <w:rsid w:val="00EF41FB"/>
    <w:rsid w:val="00F27307"/>
    <w:rsid w:val="00F620BE"/>
    <w:rsid w:val="00F76E3E"/>
    <w:rsid w:val="00FB1D98"/>
    <w:rsid w:val="15865C61"/>
    <w:rsid w:val="1B771D84"/>
    <w:rsid w:val="35CE66D6"/>
    <w:rsid w:val="69547007"/>
    <w:rsid w:val="6B0A79F4"/>
    <w:rsid w:val="6BE31910"/>
    <w:rsid w:val="6EDC54F1"/>
    <w:rsid w:val="71514AF1"/>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00" w:lineRule="exact"/>
    </w:pPr>
    <w:rPr>
      <w:rFonts w:ascii="宋体"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rFonts w:ascii="Times New Roman" w:hAnsi="Times New Roman"/>
      <w:b/>
      <w:bCs/>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2"/>
    <w:semiHidden/>
    <w:qFormat/>
    <w:uiPriority w:val="0"/>
    <w:pPr>
      <w:widowControl w:val="0"/>
      <w:spacing w:line="240" w:lineRule="auto"/>
    </w:pPr>
    <w:rPr>
      <w:rFonts w:hAnsi="宋体"/>
      <w:kern w:val="0"/>
      <w:sz w:val="20"/>
    </w:rPr>
  </w:style>
  <w:style w:type="paragraph" w:styleId="4">
    <w:name w:val="footer"/>
    <w:basedOn w:val="1"/>
    <w:link w:val="10"/>
    <w:unhideWhenUsed/>
    <w:qFormat/>
    <w:uiPriority w:val="99"/>
    <w:pPr>
      <w:tabs>
        <w:tab w:val="center" w:pos="4153"/>
        <w:tab w:val="right" w:pos="8306"/>
      </w:tabs>
      <w:snapToGrid w:val="0"/>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6"/>
    <w:link w:val="5"/>
    <w:qFormat/>
    <w:uiPriority w:val="99"/>
    <w:rPr>
      <w:rFonts w:ascii="宋体" w:hAnsi="Times New Roman" w:eastAsia="宋体" w:cs="Times New Roman"/>
      <w:sz w:val="18"/>
      <w:szCs w:val="18"/>
    </w:rPr>
  </w:style>
  <w:style w:type="character" w:customStyle="1" w:styleId="10">
    <w:name w:val="页脚 Char"/>
    <w:basedOn w:val="6"/>
    <w:link w:val="4"/>
    <w:qFormat/>
    <w:uiPriority w:val="99"/>
    <w:rPr>
      <w:rFonts w:ascii="宋体" w:hAnsi="Times New Roman" w:eastAsia="宋体" w:cs="Times New Roman"/>
      <w:sz w:val="18"/>
      <w:szCs w:val="18"/>
    </w:rPr>
  </w:style>
  <w:style w:type="paragraph" w:customStyle="1" w:styleId="11">
    <w:name w:val="List Paragraph"/>
    <w:basedOn w:val="1"/>
    <w:qFormat/>
    <w:uiPriority w:val="34"/>
    <w:pPr>
      <w:ind w:firstLine="420" w:firstLineChars="200"/>
    </w:pPr>
  </w:style>
  <w:style w:type="character" w:customStyle="1" w:styleId="12">
    <w:name w:val="批注文字 Char"/>
    <w:basedOn w:val="6"/>
    <w:link w:val="3"/>
    <w:semiHidden/>
    <w:qFormat/>
    <w:uiPriority w:val="0"/>
    <w:rPr>
      <w:rFonts w:ascii="宋体" w:hAnsi="宋体" w:eastAsia="宋体" w:cs="Times New Roman"/>
      <w:szCs w:val="24"/>
    </w:rPr>
  </w:style>
  <w:style w:type="paragraph" w:customStyle="1" w:styleId="13">
    <w:name w:val="列出段落1"/>
    <w:basedOn w:val="1"/>
    <w:qFormat/>
    <w:uiPriority w:val="0"/>
    <w:pPr>
      <w:widowControl w:val="0"/>
      <w:spacing w:line="240" w:lineRule="auto"/>
      <w:ind w:firstLine="420" w:firstLineChars="200"/>
      <w:jc w:val="both"/>
    </w:pPr>
    <w:rPr>
      <w:rFonts w:ascii="Calibri" w:hAnsi="Calibri"/>
      <w:szCs w:val="22"/>
    </w:rPr>
  </w:style>
  <w:style w:type="character" w:customStyle="1" w:styleId="14">
    <w:name w:val="批注文字 Char1"/>
    <w:basedOn w:val="6"/>
    <w:semiHidden/>
    <w:qFormat/>
    <w:locked/>
    <w:uiPriority w:val="0"/>
    <w:rPr>
      <w:rFonts w:ascii="Times New Roman" w:hAnsi="Times New Roman" w:eastAsia="宋体" w:cs="Times New Roman"/>
      <w:kern w:val="2"/>
      <w:sz w:val="21"/>
      <w:szCs w:val="24"/>
    </w:rPr>
  </w:style>
  <w:style w:type="table" w:customStyle="1" w:styleId="15">
    <w:name w:val="网格型1"/>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9AD1D6-A264-43D0-AD1A-FE50CE59778E}">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4</Pages>
  <Words>295</Words>
  <Characters>1685</Characters>
  <Lines>14</Lines>
  <Paragraphs>3</Paragraphs>
  <ScaleCrop>false</ScaleCrop>
  <LinksUpToDate>false</LinksUpToDate>
  <CharactersWithSpaces>1977</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2021-01-12T02:27:00Z</dcterms:created>
  <dc:creator>1</dc:creator>
  <cp:lastModifiedBy>7】；‘</cp:lastModifiedBy>
  <dcterms:modified xsi:type="dcterms:W3CDTF">2021-01-29T07:50:40Z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